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Ind w:w="108" w:type="dxa"/>
        <w:tblLayout w:type="fixed"/>
        <w:tblLook w:val="04A0" w:firstRow="1" w:lastRow="0" w:firstColumn="1" w:lastColumn="0" w:noHBand="0" w:noVBand="1"/>
      </w:tblPr>
      <w:tblGrid>
        <w:gridCol w:w="4962"/>
        <w:gridCol w:w="4672"/>
      </w:tblGrid>
      <w:tr w:rsidR="00052051" w:rsidTr="00155CFE">
        <w:trPr>
          <w:trHeight w:val="2693"/>
        </w:trPr>
        <w:tc>
          <w:tcPr>
            <w:tcW w:w="4962" w:type="dxa"/>
            <w:hideMark/>
          </w:tcPr>
          <w:p w:rsidR="00052051" w:rsidRDefault="00052051" w:rsidP="00393527">
            <w:pPr>
              <w:pStyle w:val="1"/>
              <w:rPr>
                <w:rFonts w:eastAsia="Batang"/>
                <w:sz w:val="28"/>
              </w:rPr>
            </w:pPr>
            <w:bookmarkStart w:id="0" w:name="_GoBack"/>
            <w:bookmarkEnd w:id="0"/>
          </w:p>
        </w:tc>
        <w:tc>
          <w:tcPr>
            <w:tcW w:w="4672" w:type="dxa"/>
            <w:hideMark/>
          </w:tcPr>
          <w:p w:rsidR="00052051" w:rsidRDefault="00052051" w:rsidP="00393527">
            <w:pPr>
              <w:pStyle w:val="1"/>
              <w:rPr>
                <w:sz w:val="28"/>
              </w:rPr>
            </w:pPr>
            <w:r>
              <w:rPr>
                <w:sz w:val="28"/>
              </w:rPr>
              <w:t>УТВЕРЖДЕНА</w:t>
            </w:r>
          </w:p>
          <w:p w:rsidR="00D6651F" w:rsidRDefault="00052051" w:rsidP="00393527">
            <w:pPr>
              <w:rPr>
                <w:sz w:val="28"/>
              </w:rPr>
            </w:pPr>
            <w:r w:rsidRPr="00F3021F">
              <w:rPr>
                <w:sz w:val="28"/>
              </w:rPr>
              <w:t>Приказом председателя</w:t>
            </w:r>
          </w:p>
          <w:p w:rsidR="00052051" w:rsidRPr="00F3021F" w:rsidRDefault="00052051" w:rsidP="00393527">
            <w:pPr>
              <w:rPr>
                <w:sz w:val="28"/>
              </w:rPr>
            </w:pPr>
            <w:r w:rsidRPr="00F3021F">
              <w:rPr>
                <w:sz w:val="28"/>
              </w:rPr>
              <w:t xml:space="preserve">Комитета </w:t>
            </w:r>
            <w:r w:rsidR="00D6651F">
              <w:rPr>
                <w:sz w:val="28"/>
              </w:rPr>
              <w:t>фармации</w:t>
            </w:r>
          </w:p>
          <w:p w:rsidR="00D6651F" w:rsidRDefault="00E332BC" w:rsidP="00393527">
            <w:pPr>
              <w:rPr>
                <w:sz w:val="28"/>
              </w:rPr>
            </w:pPr>
            <w:r>
              <w:rPr>
                <w:sz w:val="28"/>
              </w:rPr>
              <w:t>М</w:t>
            </w:r>
            <w:r w:rsidR="00D6651F">
              <w:rPr>
                <w:sz w:val="28"/>
              </w:rPr>
              <w:t>инистерство  здравоохранения</w:t>
            </w:r>
          </w:p>
          <w:p w:rsidR="00052051" w:rsidRDefault="00D6651F" w:rsidP="00393527">
            <w:pPr>
              <w:rPr>
                <w:sz w:val="28"/>
              </w:rPr>
            </w:pPr>
            <w:r>
              <w:rPr>
                <w:sz w:val="28"/>
              </w:rPr>
              <w:t>Республики  Казахстан</w:t>
            </w:r>
          </w:p>
          <w:p w:rsidR="00052051" w:rsidRDefault="00052051" w:rsidP="00393527">
            <w:pPr>
              <w:rPr>
                <w:sz w:val="28"/>
              </w:rPr>
            </w:pPr>
            <w:r>
              <w:rPr>
                <w:sz w:val="28"/>
              </w:rPr>
              <w:t>от «</w:t>
            </w:r>
            <w:r w:rsidR="00E332BC">
              <w:rPr>
                <w:sz w:val="28"/>
              </w:rPr>
              <w:t>__</w:t>
            </w:r>
            <w:r>
              <w:rPr>
                <w:sz w:val="28"/>
              </w:rPr>
              <w:t>»</w:t>
            </w:r>
            <w:r w:rsidR="00E332BC">
              <w:rPr>
                <w:sz w:val="28"/>
              </w:rPr>
              <w:t>____</w:t>
            </w:r>
            <w:r w:rsidR="00510EBB">
              <w:rPr>
                <w:sz w:val="28"/>
              </w:rPr>
              <w:t>__</w:t>
            </w:r>
            <w:r>
              <w:rPr>
                <w:sz w:val="28"/>
              </w:rPr>
              <w:t>201</w:t>
            </w:r>
            <w:r w:rsidR="00E332BC">
              <w:rPr>
                <w:sz w:val="28"/>
              </w:rPr>
              <w:t>_</w:t>
            </w:r>
            <w:r w:rsidR="00510EBB">
              <w:rPr>
                <w:sz w:val="28"/>
              </w:rPr>
              <w:t xml:space="preserve"> </w:t>
            </w:r>
            <w:r>
              <w:rPr>
                <w:sz w:val="28"/>
              </w:rPr>
              <w:t>г.</w:t>
            </w:r>
          </w:p>
          <w:p w:rsidR="00155CFE" w:rsidRDefault="00052051" w:rsidP="00510EBB">
            <w:pPr>
              <w:pStyle w:val="1"/>
              <w:rPr>
                <w:sz w:val="28"/>
              </w:rPr>
            </w:pPr>
            <w:r>
              <w:rPr>
                <w:sz w:val="28"/>
              </w:rPr>
              <w:t>№</w:t>
            </w:r>
            <w:r w:rsidR="00155CFE">
              <w:rPr>
                <w:sz w:val="28"/>
              </w:rPr>
              <w:t xml:space="preserve"> _____</w:t>
            </w:r>
          </w:p>
          <w:p w:rsidR="00052051" w:rsidRPr="00E332BC" w:rsidRDefault="00052051" w:rsidP="00510EBB">
            <w:pPr>
              <w:pStyle w:val="1"/>
              <w:rPr>
                <w:rFonts w:eastAsia="Batang"/>
                <w:sz w:val="28"/>
              </w:rPr>
            </w:pPr>
          </w:p>
        </w:tc>
      </w:tr>
    </w:tbl>
    <w:p w:rsidR="00052051" w:rsidRDefault="00052051" w:rsidP="00052051">
      <w:pPr>
        <w:autoSpaceDE w:val="0"/>
        <w:autoSpaceDN w:val="0"/>
        <w:adjustRightInd w:val="0"/>
        <w:jc w:val="both"/>
        <w:rPr>
          <w:b/>
          <w:bCs/>
          <w:caps/>
          <w:sz w:val="28"/>
          <w:szCs w:val="28"/>
        </w:rPr>
      </w:pPr>
    </w:p>
    <w:p w:rsidR="00052051" w:rsidRDefault="00052051" w:rsidP="00052051">
      <w:pPr>
        <w:jc w:val="right"/>
        <w:rPr>
          <w:b/>
          <w:sz w:val="28"/>
          <w:szCs w:val="28"/>
        </w:rPr>
      </w:pPr>
    </w:p>
    <w:p w:rsidR="00052051" w:rsidRDefault="00052051" w:rsidP="00052051">
      <w:pPr>
        <w:jc w:val="center"/>
        <w:rPr>
          <w:b/>
          <w:sz w:val="28"/>
          <w:szCs w:val="28"/>
        </w:rPr>
      </w:pPr>
    </w:p>
    <w:p w:rsidR="00052051" w:rsidRDefault="00052051" w:rsidP="00052051">
      <w:pPr>
        <w:jc w:val="center"/>
        <w:rPr>
          <w:b/>
          <w:sz w:val="28"/>
          <w:szCs w:val="28"/>
        </w:rPr>
      </w:pPr>
      <w:r>
        <w:rPr>
          <w:b/>
          <w:sz w:val="28"/>
          <w:szCs w:val="28"/>
        </w:rPr>
        <w:t>Инструкция по медицинскому применению</w:t>
      </w:r>
    </w:p>
    <w:p w:rsidR="00052051" w:rsidRDefault="00052051" w:rsidP="00052051">
      <w:pPr>
        <w:jc w:val="center"/>
        <w:rPr>
          <w:b/>
          <w:sz w:val="28"/>
          <w:szCs w:val="28"/>
        </w:rPr>
      </w:pPr>
      <w:r>
        <w:rPr>
          <w:b/>
          <w:sz w:val="28"/>
          <w:szCs w:val="28"/>
        </w:rPr>
        <w:t>лекарственного средства</w:t>
      </w:r>
    </w:p>
    <w:p w:rsidR="00052051" w:rsidRDefault="00052051" w:rsidP="00052051">
      <w:pPr>
        <w:jc w:val="center"/>
        <w:rPr>
          <w:b/>
          <w:sz w:val="28"/>
          <w:szCs w:val="28"/>
        </w:rPr>
      </w:pPr>
    </w:p>
    <w:p w:rsidR="00052051" w:rsidRDefault="00052051" w:rsidP="00052051">
      <w:pPr>
        <w:jc w:val="center"/>
        <w:rPr>
          <w:b/>
          <w:sz w:val="28"/>
          <w:szCs w:val="28"/>
        </w:rPr>
      </w:pPr>
      <w:r>
        <w:rPr>
          <w:b/>
          <w:sz w:val="28"/>
          <w:szCs w:val="28"/>
        </w:rPr>
        <w:t>СИМДАКС</w:t>
      </w:r>
    </w:p>
    <w:p w:rsidR="00052051" w:rsidRDefault="00052051" w:rsidP="00052051">
      <w:pPr>
        <w:jc w:val="both"/>
        <w:rPr>
          <w:b/>
          <w:sz w:val="28"/>
          <w:szCs w:val="28"/>
        </w:rPr>
      </w:pPr>
      <w:r>
        <w:rPr>
          <w:b/>
          <w:sz w:val="28"/>
          <w:szCs w:val="28"/>
        </w:rPr>
        <w:t>Торговое название</w:t>
      </w:r>
    </w:p>
    <w:p w:rsidR="00052051" w:rsidRDefault="00052051" w:rsidP="00052051">
      <w:pPr>
        <w:jc w:val="both"/>
        <w:rPr>
          <w:b/>
          <w:sz w:val="28"/>
          <w:szCs w:val="28"/>
        </w:rPr>
      </w:pPr>
      <w:r>
        <w:rPr>
          <w:sz w:val="28"/>
          <w:szCs w:val="28"/>
        </w:rPr>
        <w:t>Симдакс</w:t>
      </w:r>
    </w:p>
    <w:p w:rsidR="00052051" w:rsidRDefault="00052051" w:rsidP="00052051">
      <w:pPr>
        <w:jc w:val="both"/>
        <w:rPr>
          <w:sz w:val="28"/>
          <w:szCs w:val="28"/>
        </w:rPr>
      </w:pPr>
    </w:p>
    <w:p w:rsidR="00052051" w:rsidRDefault="00052051" w:rsidP="00052051">
      <w:pPr>
        <w:jc w:val="both"/>
        <w:rPr>
          <w:b/>
          <w:sz w:val="28"/>
          <w:szCs w:val="28"/>
        </w:rPr>
      </w:pPr>
      <w:r>
        <w:rPr>
          <w:b/>
          <w:sz w:val="28"/>
          <w:szCs w:val="28"/>
        </w:rPr>
        <w:t>Международное непатентованное название</w:t>
      </w:r>
    </w:p>
    <w:p w:rsidR="00052051" w:rsidRDefault="00052051" w:rsidP="00052051">
      <w:pPr>
        <w:jc w:val="both"/>
        <w:rPr>
          <w:sz w:val="28"/>
          <w:szCs w:val="28"/>
        </w:rPr>
      </w:pPr>
      <w:r>
        <w:rPr>
          <w:sz w:val="28"/>
          <w:szCs w:val="28"/>
        </w:rPr>
        <w:t>Левосимендан</w:t>
      </w:r>
    </w:p>
    <w:p w:rsidR="00052051" w:rsidRDefault="00052051" w:rsidP="00052051">
      <w:pPr>
        <w:jc w:val="both"/>
        <w:rPr>
          <w:sz w:val="28"/>
          <w:szCs w:val="28"/>
        </w:rPr>
      </w:pPr>
    </w:p>
    <w:p w:rsidR="00052051" w:rsidRDefault="00052051" w:rsidP="00052051">
      <w:pPr>
        <w:jc w:val="both"/>
        <w:rPr>
          <w:b/>
          <w:sz w:val="28"/>
          <w:szCs w:val="28"/>
        </w:rPr>
      </w:pPr>
      <w:r>
        <w:rPr>
          <w:b/>
          <w:sz w:val="28"/>
          <w:szCs w:val="28"/>
        </w:rPr>
        <w:t xml:space="preserve">Лекарственная форма </w:t>
      </w:r>
    </w:p>
    <w:p w:rsidR="00052051" w:rsidRDefault="00052051" w:rsidP="00052051">
      <w:pPr>
        <w:rPr>
          <w:sz w:val="28"/>
          <w:szCs w:val="28"/>
        </w:rPr>
      </w:pPr>
      <w:r>
        <w:rPr>
          <w:sz w:val="28"/>
          <w:szCs w:val="28"/>
        </w:rPr>
        <w:t xml:space="preserve">Концентрат для приготовления раствора для инфузий 2,5 мг/мл 5 мл </w:t>
      </w:r>
    </w:p>
    <w:p w:rsidR="00052051" w:rsidRDefault="00052051" w:rsidP="00052051">
      <w:pPr>
        <w:rPr>
          <w:sz w:val="28"/>
          <w:szCs w:val="28"/>
        </w:rPr>
      </w:pPr>
    </w:p>
    <w:p w:rsidR="00052051" w:rsidRDefault="00052051" w:rsidP="00052051">
      <w:pPr>
        <w:rPr>
          <w:b/>
          <w:sz w:val="28"/>
          <w:szCs w:val="28"/>
        </w:rPr>
      </w:pPr>
      <w:r>
        <w:rPr>
          <w:b/>
          <w:sz w:val="28"/>
          <w:szCs w:val="28"/>
        </w:rPr>
        <w:t xml:space="preserve">Состав </w:t>
      </w:r>
    </w:p>
    <w:p w:rsidR="00052051" w:rsidRDefault="00052051" w:rsidP="00052051">
      <w:pPr>
        <w:rPr>
          <w:sz w:val="28"/>
          <w:szCs w:val="28"/>
        </w:rPr>
      </w:pPr>
      <w:r>
        <w:rPr>
          <w:sz w:val="28"/>
          <w:szCs w:val="28"/>
        </w:rPr>
        <w:t>1 мл концентрата содержит</w:t>
      </w:r>
    </w:p>
    <w:p w:rsidR="00052051" w:rsidRDefault="00052051" w:rsidP="00052051">
      <w:pPr>
        <w:rPr>
          <w:color w:val="000000"/>
          <w:spacing w:val="-4"/>
          <w:sz w:val="28"/>
          <w:szCs w:val="28"/>
        </w:rPr>
      </w:pPr>
      <w:r>
        <w:rPr>
          <w:i/>
          <w:sz w:val="28"/>
          <w:szCs w:val="28"/>
        </w:rPr>
        <w:t>активное вещество</w:t>
      </w:r>
      <w:r>
        <w:rPr>
          <w:bCs/>
          <w:i/>
          <w:iCs/>
          <w:color w:val="000000"/>
          <w:sz w:val="28"/>
          <w:szCs w:val="28"/>
        </w:rPr>
        <w:t xml:space="preserve"> </w:t>
      </w:r>
      <w:r>
        <w:rPr>
          <w:b/>
          <w:bCs/>
          <w:i/>
          <w:iCs/>
          <w:color w:val="000000"/>
          <w:sz w:val="28"/>
          <w:szCs w:val="28"/>
        </w:rPr>
        <w:t xml:space="preserve">- </w:t>
      </w:r>
      <w:r>
        <w:rPr>
          <w:color w:val="000000"/>
          <w:spacing w:val="-4"/>
          <w:sz w:val="28"/>
          <w:szCs w:val="28"/>
        </w:rPr>
        <w:t>левосимендан 2,5 мг,</w:t>
      </w:r>
    </w:p>
    <w:p w:rsidR="00052051" w:rsidRDefault="00052051" w:rsidP="00052051">
      <w:pPr>
        <w:shd w:val="clear" w:color="auto" w:fill="FFFFFF"/>
        <w:jc w:val="both"/>
        <w:rPr>
          <w:color w:val="000000"/>
          <w:spacing w:val="-4"/>
          <w:sz w:val="28"/>
          <w:szCs w:val="28"/>
        </w:rPr>
      </w:pPr>
      <w:r>
        <w:rPr>
          <w:bCs/>
          <w:i/>
          <w:iCs/>
          <w:color w:val="000000"/>
          <w:sz w:val="28"/>
          <w:szCs w:val="28"/>
        </w:rPr>
        <w:t xml:space="preserve">вспомогательные вещества: </w:t>
      </w:r>
      <w:r>
        <w:rPr>
          <w:color w:val="000000"/>
          <w:spacing w:val="-4"/>
          <w:sz w:val="28"/>
          <w:szCs w:val="28"/>
        </w:rPr>
        <w:t>повидон, кислота лимонная безводная, этанол безводный.</w:t>
      </w:r>
    </w:p>
    <w:p w:rsidR="00052051" w:rsidRDefault="00052051" w:rsidP="00052051">
      <w:pPr>
        <w:jc w:val="both"/>
        <w:rPr>
          <w:b/>
          <w:color w:val="000000"/>
          <w:sz w:val="28"/>
          <w:szCs w:val="28"/>
        </w:rPr>
      </w:pPr>
    </w:p>
    <w:p w:rsidR="00052051" w:rsidRDefault="00052051" w:rsidP="00052051">
      <w:pPr>
        <w:jc w:val="both"/>
        <w:rPr>
          <w:b/>
          <w:color w:val="000000"/>
          <w:sz w:val="28"/>
          <w:szCs w:val="28"/>
        </w:rPr>
      </w:pPr>
      <w:r>
        <w:rPr>
          <w:b/>
          <w:color w:val="000000"/>
          <w:sz w:val="28"/>
          <w:szCs w:val="28"/>
        </w:rPr>
        <w:t xml:space="preserve">Описание </w:t>
      </w:r>
    </w:p>
    <w:p w:rsidR="00052051" w:rsidRDefault="00052051" w:rsidP="00052051">
      <w:pPr>
        <w:jc w:val="both"/>
        <w:rPr>
          <w:sz w:val="28"/>
          <w:szCs w:val="28"/>
        </w:rPr>
      </w:pPr>
      <w:r>
        <w:rPr>
          <w:sz w:val="28"/>
          <w:szCs w:val="28"/>
        </w:rPr>
        <w:t>Прозрачный раствор от желтого, оранжево-желтого до оранжевого цвета.</w:t>
      </w:r>
    </w:p>
    <w:p w:rsidR="00052051" w:rsidRDefault="00052051" w:rsidP="00052051">
      <w:pPr>
        <w:jc w:val="both"/>
        <w:rPr>
          <w:color w:val="000000"/>
          <w:sz w:val="28"/>
          <w:szCs w:val="28"/>
        </w:rPr>
      </w:pPr>
    </w:p>
    <w:p w:rsidR="00052051" w:rsidRDefault="00052051" w:rsidP="00052051">
      <w:pPr>
        <w:jc w:val="both"/>
        <w:rPr>
          <w:b/>
          <w:sz w:val="28"/>
          <w:szCs w:val="28"/>
        </w:rPr>
      </w:pPr>
      <w:r>
        <w:rPr>
          <w:b/>
          <w:sz w:val="28"/>
          <w:szCs w:val="28"/>
        </w:rPr>
        <w:t>Фармакотерапевтическая группа</w:t>
      </w:r>
    </w:p>
    <w:p w:rsidR="00052051" w:rsidRDefault="00052051" w:rsidP="00052051">
      <w:pPr>
        <w:jc w:val="both"/>
        <w:rPr>
          <w:bCs/>
          <w:sz w:val="28"/>
          <w:szCs w:val="28"/>
        </w:rPr>
      </w:pPr>
      <w:r>
        <w:rPr>
          <w:bCs/>
          <w:sz w:val="28"/>
          <w:szCs w:val="28"/>
        </w:rPr>
        <w:t>Кардиотонические средства негликозидного происхождения.</w:t>
      </w:r>
    </w:p>
    <w:p w:rsidR="00052051" w:rsidRDefault="00052051" w:rsidP="00052051">
      <w:pPr>
        <w:jc w:val="both"/>
        <w:rPr>
          <w:bCs/>
          <w:sz w:val="28"/>
          <w:szCs w:val="28"/>
        </w:rPr>
      </w:pPr>
      <w:r>
        <w:rPr>
          <w:bCs/>
          <w:sz w:val="28"/>
          <w:szCs w:val="28"/>
        </w:rPr>
        <w:t>Прочие кардиотонические средства.</w:t>
      </w:r>
    </w:p>
    <w:p w:rsidR="00052051" w:rsidRDefault="00052051" w:rsidP="00052051">
      <w:pPr>
        <w:jc w:val="both"/>
        <w:rPr>
          <w:bCs/>
          <w:sz w:val="28"/>
          <w:szCs w:val="28"/>
        </w:rPr>
      </w:pPr>
      <w:r>
        <w:rPr>
          <w:bCs/>
          <w:sz w:val="28"/>
          <w:szCs w:val="28"/>
        </w:rPr>
        <w:t>Код АТХ С01С Х08</w:t>
      </w:r>
    </w:p>
    <w:p w:rsidR="00052051" w:rsidRDefault="00052051" w:rsidP="00052051">
      <w:pPr>
        <w:jc w:val="both"/>
        <w:rPr>
          <w:sz w:val="28"/>
          <w:szCs w:val="28"/>
        </w:rPr>
      </w:pPr>
    </w:p>
    <w:p w:rsidR="00052051" w:rsidRDefault="00052051" w:rsidP="00052051">
      <w:pPr>
        <w:shd w:val="clear" w:color="auto" w:fill="FFFFFF"/>
        <w:jc w:val="both"/>
        <w:rPr>
          <w:b/>
          <w:bCs/>
          <w:sz w:val="28"/>
          <w:szCs w:val="28"/>
        </w:rPr>
      </w:pPr>
      <w:r>
        <w:rPr>
          <w:b/>
          <w:bCs/>
          <w:sz w:val="28"/>
          <w:szCs w:val="28"/>
        </w:rPr>
        <w:t xml:space="preserve">Фармакологические свойства </w:t>
      </w:r>
    </w:p>
    <w:p w:rsidR="00052051" w:rsidRDefault="00052051" w:rsidP="00052051">
      <w:pPr>
        <w:pStyle w:val="a5"/>
        <w:jc w:val="both"/>
        <w:rPr>
          <w:rFonts w:ascii="Times New Roman" w:hAnsi="Times New Roman"/>
          <w:b/>
          <w:i/>
          <w:iCs/>
          <w:sz w:val="28"/>
          <w:szCs w:val="28"/>
        </w:rPr>
      </w:pPr>
      <w:r>
        <w:rPr>
          <w:rFonts w:ascii="Times New Roman" w:hAnsi="Times New Roman"/>
          <w:b/>
          <w:i/>
          <w:iCs/>
          <w:sz w:val="28"/>
          <w:szCs w:val="28"/>
        </w:rPr>
        <w:t>Фармакокинетика</w:t>
      </w:r>
    </w:p>
    <w:p w:rsidR="00052051" w:rsidRDefault="00052051" w:rsidP="00052051">
      <w:pPr>
        <w:jc w:val="both"/>
        <w:rPr>
          <w:sz w:val="28"/>
          <w:szCs w:val="28"/>
        </w:rPr>
      </w:pPr>
      <w:r>
        <w:rPr>
          <w:sz w:val="28"/>
          <w:szCs w:val="28"/>
        </w:rPr>
        <w:t xml:space="preserve">В диапазоне терапевтических доз </w:t>
      </w:r>
      <w:r w:rsidR="00B05B8A" w:rsidRPr="00B05B8A">
        <w:rPr>
          <w:sz w:val="28"/>
          <w:szCs w:val="28"/>
        </w:rPr>
        <w:t xml:space="preserve">0,05-0,2 мкг/кг/мин </w:t>
      </w:r>
      <w:r>
        <w:rPr>
          <w:sz w:val="28"/>
          <w:szCs w:val="28"/>
        </w:rPr>
        <w:t>характеризуется линейной фармакокинетикой.</w:t>
      </w:r>
    </w:p>
    <w:p w:rsidR="00052051" w:rsidRDefault="00052051" w:rsidP="00052051">
      <w:pPr>
        <w:jc w:val="both"/>
        <w:rPr>
          <w:sz w:val="28"/>
          <w:szCs w:val="28"/>
        </w:rPr>
      </w:pPr>
      <w:r>
        <w:rPr>
          <w:sz w:val="28"/>
          <w:szCs w:val="28"/>
        </w:rPr>
        <w:lastRenderedPageBreak/>
        <w:t>Максимальная концентрация (C</w:t>
      </w:r>
      <w:r>
        <w:rPr>
          <w:sz w:val="28"/>
          <w:szCs w:val="28"/>
          <w:vertAlign w:val="subscript"/>
        </w:rPr>
        <w:t>max</w:t>
      </w:r>
      <w:r>
        <w:rPr>
          <w:sz w:val="28"/>
          <w:szCs w:val="28"/>
        </w:rPr>
        <w:t>) левосимендана в плазме крови достигается примерно через 2 дня после прекращения введения препарата. Объем распределения (V</w:t>
      </w:r>
      <w:r>
        <w:rPr>
          <w:sz w:val="28"/>
          <w:szCs w:val="28"/>
          <w:lang w:val="en-US"/>
        </w:rPr>
        <w:t>ss</w:t>
      </w:r>
      <w:r>
        <w:rPr>
          <w:sz w:val="28"/>
          <w:szCs w:val="28"/>
        </w:rPr>
        <w:t xml:space="preserve">) составляет около 0.2 л/кг. </w:t>
      </w:r>
    </w:p>
    <w:p w:rsidR="00052051" w:rsidRDefault="00052051" w:rsidP="00052051">
      <w:pPr>
        <w:jc w:val="both"/>
        <w:rPr>
          <w:sz w:val="28"/>
          <w:szCs w:val="28"/>
        </w:rPr>
      </w:pPr>
      <w:r>
        <w:rPr>
          <w:sz w:val="28"/>
          <w:szCs w:val="28"/>
        </w:rPr>
        <w:t>Связывание с белками плазмы крови (преимущественно с альбумином) составляет 97-98%. Связывание с белками активного метаболита составляет 40%.</w:t>
      </w:r>
    </w:p>
    <w:p w:rsidR="00052051" w:rsidRDefault="00052051" w:rsidP="00052051">
      <w:pPr>
        <w:jc w:val="both"/>
        <w:rPr>
          <w:sz w:val="28"/>
          <w:szCs w:val="28"/>
        </w:rPr>
      </w:pPr>
      <w:r>
        <w:rPr>
          <w:sz w:val="28"/>
          <w:szCs w:val="28"/>
        </w:rPr>
        <w:t>Левосимендан практически полностью метаболизируется. Первичный метаболизм левосимендана осуществляется путем конъюгации с циклическим или N-ацетилированным цистеинилглицином и цистеиновыми конъюгатами. Около 5% введеной дозы метаболизируется в тонкой кишке путем восстановления до аминофенилпиридазинона, который после реабсорбции метаболизируется при участии N-ацетилтрансферазы до активного метаболита. Степень ацетилирования генетически детерминирована.</w:t>
      </w:r>
    </w:p>
    <w:p w:rsidR="00052051" w:rsidRDefault="00052051" w:rsidP="00052051">
      <w:pPr>
        <w:jc w:val="both"/>
        <w:rPr>
          <w:sz w:val="28"/>
          <w:szCs w:val="28"/>
        </w:rPr>
      </w:pPr>
      <w:r>
        <w:rPr>
          <w:sz w:val="28"/>
          <w:szCs w:val="28"/>
        </w:rPr>
        <w:t>Клиренс левосимендана составляет около 3 мл/мин/кг. Период полувыведения (T</w:t>
      </w:r>
      <w:r>
        <w:rPr>
          <w:sz w:val="28"/>
          <w:szCs w:val="28"/>
          <w:vertAlign w:val="subscript"/>
        </w:rPr>
        <w:t>1/2</w:t>
      </w:r>
      <w:r>
        <w:rPr>
          <w:sz w:val="28"/>
          <w:szCs w:val="28"/>
        </w:rPr>
        <w:t>) около 1 ч. Выводится практически полностью в виде метаболитов: с мочой - 54%, с калом - 44%. Менее 0.05% выводится с мочой в неизмененном виде.</w:t>
      </w:r>
    </w:p>
    <w:p w:rsidR="00052051" w:rsidRDefault="00052051" w:rsidP="00052051">
      <w:pPr>
        <w:jc w:val="both"/>
        <w:rPr>
          <w:sz w:val="28"/>
          <w:szCs w:val="28"/>
        </w:rPr>
      </w:pPr>
      <w:r>
        <w:rPr>
          <w:sz w:val="28"/>
          <w:szCs w:val="28"/>
        </w:rPr>
        <w:t>Период полувыведения (T</w:t>
      </w:r>
      <w:r>
        <w:rPr>
          <w:sz w:val="28"/>
          <w:szCs w:val="28"/>
          <w:vertAlign w:val="subscript"/>
        </w:rPr>
        <w:t>1/2</w:t>
      </w:r>
      <w:r>
        <w:rPr>
          <w:sz w:val="28"/>
          <w:szCs w:val="28"/>
        </w:rPr>
        <w:t>) метаболитов составляет около 75-80 ч.</w:t>
      </w:r>
    </w:p>
    <w:p w:rsidR="00052051" w:rsidRDefault="00052051" w:rsidP="00052051">
      <w:pPr>
        <w:jc w:val="both"/>
        <w:rPr>
          <w:sz w:val="28"/>
          <w:szCs w:val="28"/>
        </w:rPr>
      </w:pPr>
      <w:r>
        <w:rPr>
          <w:sz w:val="28"/>
          <w:szCs w:val="28"/>
        </w:rPr>
        <w:t xml:space="preserve">Активные метаболиты подлежат конъюгации или почечной фильтрации, и выводятся преимущественно с мочой. </w:t>
      </w:r>
    </w:p>
    <w:p w:rsidR="00052051" w:rsidRDefault="00052051" w:rsidP="00052051">
      <w:pPr>
        <w:jc w:val="both"/>
        <w:rPr>
          <w:b/>
          <w:i/>
          <w:sz w:val="28"/>
          <w:szCs w:val="28"/>
        </w:rPr>
      </w:pPr>
      <w:r>
        <w:rPr>
          <w:b/>
          <w:i/>
          <w:sz w:val="28"/>
          <w:szCs w:val="28"/>
        </w:rPr>
        <w:t>Фармакодинамика</w:t>
      </w:r>
    </w:p>
    <w:p w:rsidR="00052051" w:rsidRDefault="00052051" w:rsidP="00052051">
      <w:pPr>
        <w:jc w:val="both"/>
        <w:rPr>
          <w:sz w:val="28"/>
          <w:szCs w:val="28"/>
        </w:rPr>
      </w:pPr>
      <w:r>
        <w:rPr>
          <w:sz w:val="28"/>
          <w:szCs w:val="28"/>
        </w:rPr>
        <w:t>Симдакс повышает чувствительность сократительных белков к кальцию путем связывания с тропонином С миокарда в кальциево-зависимой фазе. Симдакс повышает силу сердечных сокращений, но не влияет на расслабление желудочков. Оказывает вазодилатирующее действие на артерии (включая коронарные) и вены. Симдакс является селективным ингибитором фосфодиэстеразы - III in vitro.</w:t>
      </w:r>
    </w:p>
    <w:p w:rsidR="00052051" w:rsidRDefault="00052051" w:rsidP="00052051">
      <w:pPr>
        <w:jc w:val="both"/>
        <w:rPr>
          <w:sz w:val="28"/>
          <w:szCs w:val="28"/>
        </w:rPr>
      </w:pPr>
      <w:r>
        <w:rPr>
          <w:sz w:val="28"/>
          <w:szCs w:val="28"/>
        </w:rPr>
        <w:t>Благодаря наличию положительного инотропного и вазодилатирующего действия, при сердечной недостаточности повышает силу сердечных сокращений и уменьшает как преднагрузку, так и постнагрузку.</w:t>
      </w:r>
    </w:p>
    <w:p w:rsidR="00052051" w:rsidRDefault="00052051" w:rsidP="00052051">
      <w:pPr>
        <w:jc w:val="both"/>
        <w:rPr>
          <w:sz w:val="28"/>
          <w:szCs w:val="28"/>
        </w:rPr>
      </w:pPr>
      <w:r>
        <w:rPr>
          <w:sz w:val="28"/>
          <w:szCs w:val="28"/>
        </w:rPr>
        <w:t>Симдакс активирует ишемизированный миокард у пациентов после коронарной ангиопластики или тромболизиса.</w:t>
      </w:r>
    </w:p>
    <w:p w:rsidR="00052051" w:rsidRDefault="00052051" w:rsidP="00052051">
      <w:pPr>
        <w:jc w:val="both"/>
        <w:rPr>
          <w:sz w:val="28"/>
          <w:szCs w:val="28"/>
        </w:rPr>
      </w:pPr>
      <w:r>
        <w:rPr>
          <w:sz w:val="28"/>
          <w:szCs w:val="28"/>
        </w:rPr>
        <w:t>Симдакс увеличивает коронарный кровоток у пациентов, перенесших операции на сердце, и улучшает перфузию миокарда у пациентов с сердечной недостаточностью. Эти положительные эффекты достигаются без значительного повышения потребления миокардом кислорода. Симдакс значительно снижает циркулирующий уровень эндотелина-1 при хронической сердечной недостаточности.</w:t>
      </w:r>
    </w:p>
    <w:p w:rsidR="00052051" w:rsidRDefault="00052051" w:rsidP="00052051">
      <w:pPr>
        <w:jc w:val="both"/>
        <w:rPr>
          <w:sz w:val="28"/>
          <w:szCs w:val="28"/>
        </w:rPr>
      </w:pPr>
      <w:r>
        <w:rPr>
          <w:sz w:val="28"/>
          <w:szCs w:val="28"/>
        </w:rPr>
        <w:t>Вызывает дозозависимое увеличение сердечного выброса и ударного объема, а также дозозависимое снижение систолического и диастолического давления, давления в легочно-капиллярной сети, давление в правом предсердии и периферическое сосудистое сопротивление.</w:t>
      </w:r>
    </w:p>
    <w:p w:rsidR="00052051" w:rsidRDefault="00052051" w:rsidP="00052051">
      <w:pPr>
        <w:jc w:val="both"/>
        <w:rPr>
          <w:sz w:val="28"/>
          <w:szCs w:val="28"/>
        </w:rPr>
      </w:pPr>
    </w:p>
    <w:p w:rsidR="00052051" w:rsidRDefault="00052051" w:rsidP="00052051">
      <w:pPr>
        <w:jc w:val="both"/>
        <w:rPr>
          <w:b/>
          <w:sz w:val="28"/>
          <w:szCs w:val="28"/>
        </w:rPr>
      </w:pPr>
      <w:bookmarkStart w:id="1" w:name="PhKinetics"/>
      <w:bookmarkEnd w:id="1"/>
      <w:r>
        <w:rPr>
          <w:b/>
          <w:sz w:val="28"/>
          <w:szCs w:val="28"/>
        </w:rPr>
        <w:lastRenderedPageBreak/>
        <w:t xml:space="preserve">Показания к применению </w:t>
      </w:r>
    </w:p>
    <w:p w:rsidR="00052051" w:rsidRDefault="00052051" w:rsidP="00052051">
      <w:pPr>
        <w:jc w:val="both"/>
        <w:rPr>
          <w:sz w:val="28"/>
          <w:szCs w:val="28"/>
        </w:rPr>
      </w:pPr>
      <w:r>
        <w:rPr>
          <w:sz w:val="28"/>
          <w:szCs w:val="28"/>
        </w:rPr>
        <w:t xml:space="preserve">- краткосрочное лечение остро декомпенсированной хронической </w:t>
      </w:r>
    </w:p>
    <w:p w:rsidR="00052051" w:rsidRDefault="00052051" w:rsidP="00052051">
      <w:pPr>
        <w:jc w:val="both"/>
        <w:rPr>
          <w:sz w:val="28"/>
          <w:szCs w:val="28"/>
        </w:rPr>
      </w:pPr>
      <w:r>
        <w:rPr>
          <w:sz w:val="28"/>
          <w:szCs w:val="28"/>
        </w:rPr>
        <w:t xml:space="preserve">  сердечной недостаточности тяжелой степени при неэффективности </w:t>
      </w:r>
    </w:p>
    <w:p w:rsidR="00052051" w:rsidRDefault="00052051" w:rsidP="00052051">
      <w:pPr>
        <w:jc w:val="both"/>
        <w:rPr>
          <w:sz w:val="28"/>
          <w:szCs w:val="28"/>
        </w:rPr>
      </w:pPr>
      <w:r>
        <w:rPr>
          <w:sz w:val="28"/>
          <w:szCs w:val="28"/>
        </w:rPr>
        <w:t xml:space="preserve">  традиционной  терапии, и при состояниях, когда необходима инотропная </w:t>
      </w:r>
    </w:p>
    <w:p w:rsidR="00052051" w:rsidRDefault="00052051" w:rsidP="00052051">
      <w:pPr>
        <w:jc w:val="both"/>
        <w:rPr>
          <w:sz w:val="28"/>
          <w:szCs w:val="28"/>
        </w:rPr>
      </w:pPr>
      <w:r>
        <w:rPr>
          <w:sz w:val="28"/>
          <w:szCs w:val="28"/>
        </w:rPr>
        <w:t xml:space="preserve">  поддержка </w:t>
      </w:r>
    </w:p>
    <w:p w:rsidR="00052051" w:rsidRDefault="00052051" w:rsidP="00052051">
      <w:pPr>
        <w:jc w:val="both"/>
        <w:rPr>
          <w:sz w:val="28"/>
          <w:szCs w:val="28"/>
        </w:rPr>
      </w:pPr>
    </w:p>
    <w:p w:rsidR="00052051" w:rsidRDefault="00052051" w:rsidP="00052051">
      <w:pPr>
        <w:jc w:val="both"/>
        <w:rPr>
          <w:b/>
          <w:sz w:val="28"/>
          <w:szCs w:val="28"/>
        </w:rPr>
      </w:pPr>
      <w:r>
        <w:rPr>
          <w:b/>
          <w:sz w:val="28"/>
          <w:szCs w:val="28"/>
        </w:rPr>
        <w:t xml:space="preserve">Способ применения и дозы </w:t>
      </w:r>
    </w:p>
    <w:p w:rsidR="00052051" w:rsidRDefault="00052051" w:rsidP="00052051">
      <w:pPr>
        <w:jc w:val="both"/>
        <w:rPr>
          <w:sz w:val="28"/>
          <w:szCs w:val="28"/>
        </w:rPr>
      </w:pPr>
      <w:r>
        <w:rPr>
          <w:sz w:val="28"/>
          <w:szCs w:val="28"/>
        </w:rPr>
        <w:t>Доза и продолжительность лечения должны определяться индивидуально в соответствии с клиническим состоянием пациента и ответом на лечение.</w:t>
      </w:r>
    </w:p>
    <w:p w:rsidR="00052051" w:rsidRDefault="00052051" w:rsidP="00052051">
      <w:pPr>
        <w:jc w:val="both"/>
        <w:rPr>
          <w:sz w:val="28"/>
          <w:szCs w:val="28"/>
        </w:rPr>
      </w:pPr>
      <w:r>
        <w:rPr>
          <w:sz w:val="28"/>
          <w:szCs w:val="28"/>
        </w:rPr>
        <w:t>Лечение необходимо начинать с дозы насыщения 6-12 мкг/кг, которая вводится на протяжении не менее 10 минут с последующим беспрерывным введением со скоростью 0.1 мкг/кг/мин. Снижение дозы насыщения до 6 мкг/кг рекомендовано пациентам с сопутствующей внутривенной терапией сосудорасширяющими и/или инотропными средствами в начале инфузий. Клинически выраженная реакция пациента на лечение оценивается при введении дозы насыщения или в течение 30 - 60 минут с момента коррекции дозы.</w:t>
      </w:r>
    </w:p>
    <w:p w:rsidR="00052051" w:rsidRDefault="00052051" w:rsidP="00052051">
      <w:pPr>
        <w:jc w:val="both"/>
        <w:rPr>
          <w:sz w:val="28"/>
          <w:szCs w:val="28"/>
        </w:rPr>
      </w:pPr>
      <w:r>
        <w:rPr>
          <w:sz w:val="28"/>
          <w:szCs w:val="28"/>
        </w:rPr>
        <w:t>Если у пациента при введении препарата развилась гипотензия</w:t>
      </w:r>
      <w:r>
        <w:rPr>
          <w:sz w:val="28"/>
          <w:szCs w:val="28"/>
          <w:lang w:val="kk-KZ"/>
        </w:rPr>
        <w:t xml:space="preserve">, </w:t>
      </w:r>
      <w:r>
        <w:rPr>
          <w:sz w:val="28"/>
          <w:szCs w:val="28"/>
        </w:rPr>
        <w:t xml:space="preserve">тахикардия, то скорость, с которой вводится раствор, можно уменьшить до 0.05 мкг/кг/мин или прекратить введение. Если начальная доза хорошо переносится и необходимо усилить гемодинамический эффект, скорость введения можно увеличить до 0.2 мкг/кг/мин. Рекомендуемая продолжительность введения при остро декомпенсации тяжелой хронической сердечной недостаточности составляет 24 часа. После прекращения введения препарата не наблюдалось никаких признаков развития привыкания или феномена обратного эффекта. Гемодинамические эффекты сохраняются по меньшей мере 24 часа и могут наблюдаться до 9 дней после прекращения инфузии. </w:t>
      </w:r>
    </w:p>
    <w:p w:rsidR="00052051" w:rsidRDefault="00052051" w:rsidP="00052051">
      <w:pPr>
        <w:shd w:val="clear" w:color="auto" w:fill="FFFFFF"/>
        <w:ind w:right="-25"/>
        <w:jc w:val="both"/>
        <w:rPr>
          <w:spacing w:val="-1"/>
          <w:sz w:val="28"/>
          <w:szCs w:val="28"/>
        </w:rPr>
      </w:pPr>
      <w:r>
        <w:rPr>
          <w:sz w:val="28"/>
          <w:szCs w:val="28"/>
        </w:rPr>
        <w:t xml:space="preserve">Чтобы приготовить раствор для инфузии в концентрации 0,05 мг/мл, смешивают 10 мл </w:t>
      </w:r>
      <w:r>
        <w:rPr>
          <w:spacing w:val="-1"/>
          <w:sz w:val="28"/>
          <w:szCs w:val="28"/>
        </w:rPr>
        <w:t xml:space="preserve">концентрата с 500 мл 5 % раствора глюкозы. </w:t>
      </w:r>
    </w:p>
    <w:p w:rsidR="00052051" w:rsidRDefault="00052051" w:rsidP="00052051">
      <w:pPr>
        <w:shd w:val="clear" w:color="auto" w:fill="FFFFFF"/>
        <w:ind w:right="-25"/>
        <w:jc w:val="both"/>
        <w:rPr>
          <w:sz w:val="28"/>
          <w:szCs w:val="28"/>
        </w:rPr>
      </w:pPr>
      <w:r>
        <w:rPr>
          <w:spacing w:val="-1"/>
          <w:sz w:val="28"/>
          <w:szCs w:val="28"/>
        </w:rPr>
        <w:t xml:space="preserve">В таблице 1 представлены скорости инфузии </w:t>
      </w:r>
      <w:r>
        <w:rPr>
          <w:spacing w:val="-2"/>
          <w:sz w:val="28"/>
          <w:szCs w:val="28"/>
        </w:rPr>
        <w:t>для раствора в концентрации 0,05 мг/мл для дозы насыщения и поддерживающей дозы.</w:t>
      </w:r>
    </w:p>
    <w:p w:rsidR="00052051" w:rsidRDefault="00052051" w:rsidP="00052051">
      <w:pPr>
        <w:shd w:val="clear" w:color="auto" w:fill="FFFFFF"/>
        <w:tabs>
          <w:tab w:val="left" w:leader="underscore" w:pos="5606"/>
          <w:tab w:val="left" w:leader="underscore" w:pos="8410"/>
        </w:tabs>
        <w:ind w:right="-25"/>
        <w:jc w:val="right"/>
        <w:rPr>
          <w:sz w:val="28"/>
          <w:szCs w:val="28"/>
          <w:lang w:val="en-US"/>
        </w:rPr>
      </w:pPr>
      <w:r>
        <w:rPr>
          <w:spacing w:val="-3"/>
          <w:sz w:val="28"/>
          <w:szCs w:val="28"/>
        </w:rPr>
        <w:t>Таблица 1</w:t>
      </w:r>
    </w:p>
    <w:tbl>
      <w:tblPr>
        <w:tblW w:w="9315" w:type="dxa"/>
        <w:tblInd w:w="40" w:type="dxa"/>
        <w:tblLayout w:type="fixed"/>
        <w:tblCellMar>
          <w:left w:w="40" w:type="dxa"/>
          <w:right w:w="40" w:type="dxa"/>
        </w:tblCellMar>
        <w:tblLook w:val="04A0" w:firstRow="1" w:lastRow="0" w:firstColumn="1" w:lastColumn="0" w:noHBand="0" w:noVBand="1"/>
      </w:tblPr>
      <w:tblGrid>
        <w:gridCol w:w="1801"/>
        <w:gridCol w:w="1621"/>
        <w:gridCol w:w="1800"/>
        <w:gridCol w:w="1522"/>
        <w:gridCol w:w="1314"/>
        <w:gridCol w:w="1257"/>
      </w:tblGrid>
      <w:tr w:rsidR="00052051" w:rsidTr="00393527">
        <w:trPr>
          <w:trHeight w:hRule="exact" w:val="1099"/>
        </w:trPr>
        <w:tc>
          <w:tcPr>
            <w:tcW w:w="180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52051" w:rsidRDefault="00052051" w:rsidP="00393527">
            <w:pPr>
              <w:shd w:val="clear" w:color="auto" w:fill="FFFFFF"/>
              <w:ind w:right="-25"/>
              <w:jc w:val="center"/>
              <w:rPr>
                <w:sz w:val="28"/>
                <w:szCs w:val="28"/>
              </w:rPr>
            </w:pPr>
            <w:r>
              <w:rPr>
                <w:spacing w:val="-1"/>
                <w:sz w:val="28"/>
                <w:szCs w:val="28"/>
              </w:rPr>
              <w:t xml:space="preserve">Масса тела </w:t>
            </w:r>
            <w:r>
              <w:rPr>
                <w:spacing w:val="-2"/>
                <w:sz w:val="28"/>
                <w:szCs w:val="28"/>
              </w:rPr>
              <w:t>пациента, кг</w:t>
            </w:r>
          </w:p>
          <w:p w:rsidR="00052051" w:rsidRDefault="00052051" w:rsidP="00393527">
            <w:pPr>
              <w:ind w:right="-25"/>
              <w:jc w:val="center"/>
              <w:rPr>
                <w:sz w:val="28"/>
                <w:szCs w:val="28"/>
              </w:rPr>
            </w:pPr>
          </w:p>
          <w:p w:rsidR="00052051" w:rsidRDefault="00052051" w:rsidP="00393527">
            <w:pPr>
              <w:ind w:right="-25"/>
              <w:jc w:val="center"/>
              <w:rPr>
                <w:sz w:val="28"/>
                <w:szCs w:val="28"/>
              </w:rPr>
            </w:pPr>
          </w:p>
        </w:tc>
        <w:tc>
          <w:tcPr>
            <w:tcW w:w="342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pacing w:val="-2"/>
                <w:sz w:val="28"/>
                <w:szCs w:val="28"/>
              </w:rPr>
              <w:t xml:space="preserve">Доза насыщения вводится не менее </w:t>
            </w:r>
            <w:r>
              <w:rPr>
                <w:spacing w:val="-3"/>
                <w:sz w:val="28"/>
                <w:szCs w:val="28"/>
              </w:rPr>
              <w:t>10 минут со скоростью (мл/час)</w:t>
            </w:r>
          </w:p>
        </w:tc>
        <w:tc>
          <w:tcPr>
            <w:tcW w:w="4093"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pacing w:val="-6"/>
                <w:sz w:val="28"/>
                <w:szCs w:val="28"/>
              </w:rPr>
              <w:t xml:space="preserve">Скорость поддерживающей </w:t>
            </w:r>
            <w:r>
              <w:rPr>
                <w:sz w:val="28"/>
                <w:szCs w:val="28"/>
              </w:rPr>
              <w:t>инфузии (мл/час)</w:t>
            </w:r>
          </w:p>
        </w:tc>
      </w:tr>
      <w:tr w:rsidR="00052051" w:rsidTr="00393527">
        <w:trPr>
          <w:trHeight w:hRule="exact" w:val="716"/>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052051" w:rsidRDefault="00052051" w:rsidP="00393527">
            <w:pPr>
              <w:rPr>
                <w:sz w:val="28"/>
                <w:szCs w:val="28"/>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pacing w:val="-4"/>
                <w:sz w:val="28"/>
                <w:szCs w:val="28"/>
              </w:rPr>
              <w:t>6 мкг/кг</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pacing w:val="-5"/>
                <w:sz w:val="28"/>
                <w:szCs w:val="28"/>
              </w:rPr>
              <w:t>12 мкг/кг</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 xml:space="preserve">0,05 </w:t>
            </w:r>
            <w:r>
              <w:rPr>
                <w:spacing w:val="-5"/>
                <w:sz w:val="28"/>
                <w:szCs w:val="28"/>
              </w:rPr>
              <w:t>мкг/кг/мин</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 xml:space="preserve">0,1 </w:t>
            </w:r>
            <w:r>
              <w:rPr>
                <w:spacing w:val="-6"/>
                <w:sz w:val="28"/>
                <w:szCs w:val="28"/>
              </w:rPr>
              <w:t>мкг/кг/мин</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lang w:val="en-US"/>
              </w:rPr>
            </w:pPr>
            <w:r>
              <w:rPr>
                <w:sz w:val="28"/>
                <w:szCs w:val="28"/>
              </w:rPr>
              <w:t>0,2</w:t>
            </w:r>
          </w:p>
          <w:p w:rsidR="00052051" w:rsidRDefault="00052051" w:rsidP="00393527">
            <w:pPr>
              <w:shd w:val="clear" w:color="auto" w:fill="FFFFFF"/>
              <w:ind w:right="-25"/>
              <w:jc w:val="center"/>
              <w:rPr>
                <w:sz w:val="28"/>
                <w:szCs w:val="28"/>
              </w:rPr>
            </w:pPr>
            <w:r>
              <w:rPr>
                <w:spacing w:val="-8"/>
                <w:sz w:val="28"/>
                <w:szCs w:val="28"/>
              </w:rPr>
              <w:t>кг/кг/мин</w:t>
            </w:r>
          </w:p>
        </w:tc>
      </w:tr>
      <w:tr w:rsidR="00052051" w:rsidTr="00393527">
        <w:trPr>
          <w:trHeight w:hRule="exact" w:val="271"/>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40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29</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58</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2</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5</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10</w:t>
            </w:r>
          </w:p>
        </w:tc>
      </w:tr>
      <w:tr w:rsidR="00052051" w:rsidTr="00393527">
        <w:trPr>
          <w:trHeight w:hRule="exact" w:val="271"/>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50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36</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72</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3</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6</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12</w:t>
            </w:r>
          </w:p>
        </w:tc>
      </w:tr>
      <w:tr w:rsidR="00052051" w:rsidTr="00393527">
        <w:trPr>
          <w:trHeight w:hRule="exact" w:val="271"/>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60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43</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86</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4</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7</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14</w:t>
            </w:r>
          </w:p>
        </w:tc>
      </w:tr>
      <w:tr w:rsidR="00052051" w:rsidTr="00393527">
        <w:trPr>
          <w:trHeight w:hRule="exact" w:val="280"/>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70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50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101</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4</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8</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17</w:t>
            </w:r>
          </w:p>
        </w:tc>
      </w:tr>
      <w:tr w:rsidR="00052051" w:rsidTr="00393527">
        <w:trPr>
          <w:trHeight w:hRule="exact" w:val="280"/>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80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58</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115</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5</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10</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19</w:t>
            </w:r>
          </w:p>
        </w:tc>
      </w:tr>
      <w:tr w:rsidR="00052051" w:rsidTr="00393527">
        <w:trPr>
          <w:trHeight w:hRule="exact" w:val="271"/>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90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65</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130</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5</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11</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22</w:t>
            </w:r>
          </w:p>
        </w:tc>
      </w:tr>
      <w:tr w:rsidR="00052051" w:rsidTr="00393527">
        <w:trPr>
          <w:trHeight w:hRule="exact" w:val="280"/>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100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72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144</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6</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24</w:t>
            </w:r>
          </w:p>
        </w:tc>
      </w:tr>
      <w:tr w:rsidR="00052051" w:rsidTr="00393527">
        <w:trPr>
          <w:trHeight w:hRule="exact" w:val="271"/>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lang w:val="en-US"/>
              </w:rPr>
              <w:lastRenderedPageBreak/>
              <w:t>110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79</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158</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7</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13</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26</w:t>
            </w:r>
          </w:p>
        </w:tc>
      </w:tr>
      <w:tr w:rsidR="00052051" w:rsidTr="00393527">
        <w:trPr>
          <w:trHeight w:hRule="exact" w:val="301"/>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120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86</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173</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7</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14</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29</w:t>
            </w:r>
          </w:p>
        </w:tc>
      </w:tr>
    </w:tbl>
    <w:p w:rsidR="00052051" w:rsidRDefault="00052051" w:rsidP="00052051">
      <w:pPr>
        <w:shd w:val="clear" w:color="auto" w:fill="FFFFFF"/>
        <w:ind w:right="-25"/>
        <w:jc w:val="both"/>
        <w:rPr>
          <w:spacing w:val="-2"/>
          <w:sz w:val="10"/>
          <w:szCs w:val="10"/>
          <w:lang w:val="en-US"/>
        </w:rPr>
      </w:pPr>
    </w:p>
    <w:p w:rsidR="00052051" w:rsidRDefault="00052051" w:rsidP="00052051">
      <w:pPr>
        <w:shd w:val="clear" w:color="auto" w:fill="FFFFFF"/>
        <w:ind w:right="-25"/>
        <w:jc w:val="both"/>
        <w:rPr>
          <w:spacing w:val="-2"/>
          <w:sz w:val="28"/>
          <w:szCs w:val="28"/>
        </w:rPr>
      </w:pPr>
      <w:r>
        <w:rPr>
          <w:spacing w:val="-2"/>
          <w:sz w:val="28"/>
          <w:szCs w:val="28"/>
        </w:rPr>
        <w:t xml:space="preserve">Чтобы приготовить раствор для инфузии в концентрации 0,025 мг/мл, смешивают 5 мл концентрата с 500 мл 5 % раствора глюкозы. </w:t>
      </w:r>
    </w:p>
    <w:p w:rsidR="00052051" w:rsidRDefault="00052051" w:rsidP="00052051">
      <w:pPr>
        <w:shd w:val="clear" w:color="auto" w:fill="FFFFFF"/>
        <w:ind w:right="-25"/>
        <w:jc w:val="both"/>
        <w:rPr>
          <w:spacing w:val="-2"/>
          <w:sz w:val="28"/>
          <w:szCs w:val="28"/>
        </w:rPr>
      </w:pPr>
      <w:r>
        <w:rPr>
          <w:spacing w:val="-2"/>
          <w:sz w:val="28"/>
          <w:szCs w:val="28"/>
        </w:rPr>
        <w:t>В таблице 2 представлены скорости инфузии для раствора в концентрации 0,025 мг/мл для дозы насыщения и поддерживающей дозы.</w:t>
      </w:r>
    </w:p>
    <w:p w:rsidR="00052051" w:rsidRDefault="00052051" w:rsidP="00052051">
      <w:pPr>
        <w:shd w:val="clear" w:color="auto" w:fill="FFFFFF"/>
        <w:ind w:right="-25"/>
        <w:jc w:val="right"/>
        <w:rPr>
          <w:sz w:val="28"/>
          <w:szCs w:val="28"/>
          <w:lang w:val="en-US"/>
        </w:rPr>
      </w:pPr>
      <w:r>
        <w:rPr>
          <w:spacing w:val="-6"/>
          <w:sz w:val="28"/>
          <w:szCs w:val="28"/>
        </w:rPr>
        <w:t>Таблица 2</w:t>
      </w:r>
    </w:p>
    <w:tbl>
      <w:tblPr>
        <w:tblW w:w="9315" w:type="dxa"/>
        <w:tblInd w:w="40" w:type="dxa"/>
        <w:tblLayout w:type="fixed"/>
        <w:tblCellMar>
          <w:left w:w="40" w:type="dxa"/>
          <w:right w:w="40" w:type="dxa"/>
        </w:tblCellMar>
        <w:tblLook w:val="04A0" w:firstRow="1" w:lastRow="0" w:firstColumn="1" w:lastColumn="0" w:noHBand="0" w:noVBand="1"/>
      </w:tblPr>
      <w:tblGrid>
        <w:gridCol w:w="1801"/>
        <w:gridCol w:w="1621"/>
        <w:gridCol w:w="1800"/>
        <w:gridCol w:w="1522"/>
        <w:gridCol w:w="1314"/>
        <w:gridCol w:w="1257"/>
      </w:tblGrid>
      <w:tr w:rsidR="00052051" w:rsidTr="00393527">
        <w:trPr>
          <w:trHeight w:hRule="exact" w:val="1099"/>
        </w:trPr>
        <w:tc>
          <w:tcPr>
            <w:tcW w:w="180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52051" w:rsidRDefault="00052051" w:rsidP="00393527">
            <w:pPr>
              <w:shd w:val="clear" w:color="auto" w:fill="FFFFFF"/>
              <w:ind w:right="-25"/>
              <w:jc w:val="center"/>
              <w:rPr>
                <w:sz w:val="28"/>
                <w:szCs w:val="28"/>
              </w:rPr>
            </w:pPr>
            <w:r>
              <w:rPr>
                <w:spacing w:val="-1"/>
                <w:sz w:val="28"/>
                <w:szCs w:val="28"/>
              </w:rPr>
              <w:t xml:space="preserve">Масса тела </w:t>
            </w:r>
            <w:r>
              <w:rPr>
                <w:spacing w:val="-2"/>
                <w:sz w:val="28"/>
                <w:szCs w:val="28"/>
              </w:rPr>
              <w:t>пациента, кг</w:t>
            </w:r>
          </w:p>
          <w:p w:rsidR="00052051" w:rsidRDefault="00052051" w:rsidP="00393527">
            <w:pPr>
              <w:ind w:right="-25"/>
              <w:jc w:val="center"/>
              <w:rPr>
                <w:sz w:val="28"/>
                <w:szCs w:val="28"/>
              </w:rPr>
            </w:pPr>
          </w:p>
          <w:p w:rsidR="00052051" w:rsidRDefault="00052051" w:rsidP="00393527">
            <w:pPr>
              <w:ind w:right="-25"/>
              <w:jc w:val="center"/>
              <w:rPr>
                <w:sz w:val="28"/>
                <w:szCs w:val="28"/>
              </w:rPr>
            </w:pPr>
          </w:p>
        </w:tc>
        <w:tc>
          <w:tcPr>
            <w:tcW w:w="342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pacing w:val="-2"/>
                <w:sz w:val="28"/>
                <w:szCs w:val="28"/>
              </w:rPr>
              <w:t xml:space="preserve">Доза насыщения вводится не менее </w:t>
            </w:r>
            <w:r>
              <w:rPr>
                <w:spacing w:val="-3"/>
                <w:sz w:val="28"/>
                <w:szCs w:val="28"/>
              </w:rPr>
              <w:t>10 минут со скоростью (мл/час)</w:t>
            </w:r>
          </w:p>
        </w:tc>
        <w:tc>
          <w:tcPr>
            <w:tcW w:w="4093"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pacing w:val="-6"/>
                <w:sz w:val="28"/>
                <w:szCs w:val="28"/>
              </w:rPr>
              <w:t xml:space="preserve">Скорость поддерживающей </w:t>
            </w:r>
            <w:r>
              <w:rPr>
                <w:sz w:val="28"/>
                <w:szCs w:val="28"/>
              </w:rPr>
              <w:t>инфузии (мл/час)</w:t>
            </w:r>
          </w:p>
        </w:tc>
      </w:tr>
      <w:tr w:rsidR="00052051" w:rsidTr="00393527">
        <w:trPr>
          <w:trHeight w:hRule="exact" w:val="716"/>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052051" w:rsidRDefault="00052051" w:rsidP="00393527">
            <w:pPr>
              <w:rPr>
                <w:sz w:val="28"/>
                <w:szCs w:val="28"/>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pacing w:val="-4"/>
                <w:sz w:val="28"/>
                <w:szCs w:val="28"/>
              </w:rPr>
              <w:t>6 мкг/кг</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pacing w:val="-5"/>
                <w:sz w:val="28"/>
                <w:szCs w:val="28"/>
              </w:rPr>
              <w:t xml:space="preserve">12 мкг/кг </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 xml:space="preserve">0,05 </w:t>
            </w:r>
            <w:r>
              <w:rPr>
                <w:spacing w:val="-5"/>
                <w:sz w:val="28"/>
                <w:szCs w:val="28"/>
              </w:rPr>
              <w:t>мкг/кг/мин</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 xml:space="preserve">0,1 </w:t>
            </w:r>
            <w:r>
              <w:rPr>
                <w:spacing w:val="-6"/>
                <w:sz w:val="28"/>
                <w:szCs w:val="28"/>
              </w:rPr>
              <w:t>мкг/кг/мин</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lang w:val="en-US"/>
              </w:rPr>
            </w:pPr>
            <w:r>
              <w:rPr>
                <w:sz w:val="28"/>
                <w:szCs w:val="28"/>
              </w:rPr>
              <w:t>0,2</w:t>
            </w:r>
          </w:p>
          <w:p w:rsidR="00052051" w:rsidRDefault="00052051" w:rsidP="00393527">
            <w:pPr>
              <w:shd w:val="clear" w:color="auto" w:fill="FFFFFF"/>
              <w:ind w:right="-25"/>
              <w:jc w:val="center"/>
              <w:rPr>
                <w:sz w:val="28"/>
                <w:szCs w:val="28"/>
              </w:rPr>
            </w:pPr>
            <w:r>
              <w:rPr>
                <w:spacing w:val="-8"/>
                <w:sz w:val="28"/>
                <w:szCs w:val="28"/>
              </w:rPr>
              <w:t>кг/кг/мин</w:t>
            </w:r>
          </w:p>
        </w:tc>
      </w:tr>
      <w:tr w:rsidR="00052051" w:rsidTr="00393527">
        <w:trPr>
          <w:trHeight w:hRule="exact" w:val="271"/>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40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58</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115</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5</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10</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19</w:t>
            </w:r>
          </w:p>
        </w:tc>
      </w:tr>
      <w:tr w:rsidR="00052051" w:rsidTr="00393527">
        <w:trPr>
          <w:trHeight w:hRule="exact" w:val="271"/>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50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72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144</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6</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24</w:t>
            </w:r>
          </w:p>
        </w:tc>
      </w:tr>
      <w:tr w:rsidR="00052051" w:rsidTr="00393527">
        <w:trPr>
          <w:trHeight w:hRule="exact" w:val="271"/>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60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86</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173</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7</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14</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29</w:t>
            </w:r>
          </w:p>
        </w:tc>
      </w:tr>
      <w:tr w:rsidR="00052051" w:rsidTr="00393527">
        <w:trPr>
          <w:trHeight w:hRule="exact" w:val="280"/>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70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101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202</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8</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17</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34</w:t>
            </w:r>
          </w:p>
        </w:tc>
      </w:tr>
      <w:tr w:rsidR="00052051" w:rsidTr="00393527">
        <w:trPr>
          <w:trHeight w:hRule="exact" w:val="280"/>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80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115</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230</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10</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19</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38</w:t>
            </w:r>
          </w:p>
        </w:tc>
      </w:tr>
      <w:tr w:rsidR="00052051" w:rsidTr="00393527">
        <w:trPr>
          <w:trHeight w:hRule="exact" w:val="271"/>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90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130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259</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11</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22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43</w:t>
            </w:r>
          </w:p>
        </w:tc>
      </w:tr>
      <w:tr w:rsidR="00052051" w:rsidTr="00393527">
        <w:trPr>
          <w:trHeight w:hRule="exact" w:val="280"/>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100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144</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288</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12</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24</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48</w:t>
            </w:r>
          </w:p>
        </w:tc>
      </w:tr>
      <w:tr w:rsidR="00052051" w:rsidTr="00393527">
        <w:trPr>
          <w:trHeight w:hRule="exact" w:val="271"/>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110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158</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317</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13</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26</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53</w:t>
            </w:r>
          </w:p>
        </w:tc>
      </w:tr>
      <w:tr w:rsidR="00052051" w:rsidTr="00393527">
        <w:trPr>
          <w:trHeight w:hRule="exact" w:val="301"/>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120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173</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346</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14</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29</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52051" w:rsidRDefault="00052051" w:rsidP="00393527">
            <w:pPr>
              <w:shd w:val="clear" w:color="auto" w:fill="FFFFFF"/>
              <w:ind w:right="-25"/>
              <w:jc w:val="center"/>
              <w:rPr>
                <w:sz w:val="28"/>
                <w:szCs w:val="28"/>
              </w:rPr>
            </w:pPr>
            <w:r>
              <w:rPr>
                <w:sz w:val="28"/>
                <w:szCs w:val="28"/>
              </w:rPr>
              <w:t>58</w:t>
            </w:r>
          </w:p>
        </w:tc>
      </w:tr>
    </w:tbl>
    <w:p w:rsidR="00052051" w:rsidRDefault="00052051" w:rsidP="00052051">
      <w:pPr>
        <w:shd w:val="clear" w:color="auto" w:fill="FFFFFF"/>
        <w:ind w:right="-25"/>
        <w:jc w:val="both"/>
        <w:rPr>
          <w:sz w:val="10"/>
          <w:szCs w:val="10"/>
        </w:rPr>
      </w:pPr>
    </w:p>
    <w:p w:rsidR="00052051" w:rsidRDefault="00052051" w:rsidP="00052051">
      <w:pPr>
        <w:jc w:val="both"/>
        <w:rPr>
          <w:sz w:val="28"/>
          <w:szCs w:val="28"/>
        </w:rPr>
      </w:pPr>
    </w:p>
    <w:p w:rsidR="00052051" w:rsidRDefault="00052051" w:rsidP="00052051">
      <w:pPr>
        <w:jc w:val="both"/>
        <w:rPr>
          <w:b/>
          <w:sz w:val="28"/>
          <w:szCs w:val="28"/>
        </w:rPr>
      </w:pPr>
      <w:r>
        <w:rPr>
          <w:b/>
          <w:sz w:val="28"/>
          <w:szCs w:val="28"/>
        </w:rPr>
        <w:t xml:space="preserve">Побочные действия </w:t>
      </w:r>
    </w:p>
    <w:p w:rsidR="00052051" w:rsidRDefault="00052051" w:rsidP="00052051">
      <w:pPr>
        <w:jc w:val="both"/>
        <w:rPr>
          <w:i/>
          <w:color w:val="000000"/>
          <w:sz w:val="28"/>
          <w:szCs w:val="28"/>
        </w:rPr>
      </w:pPr>
      <w:r>
        <w:rPr>
          <w:i/>
          <w:color w:val="000000"/>
          <w:sz w:val="28"/>
          <w:szCs w:val="28"/>
        </w:rPr>
        <w:t>Часто</w:t>
      </w:r>
    </w:p>
    <w:p w:rsidR="00052051" w:rsidRDefault="00052051" w:rsidP="00052051">
      <w:pPr>
        <w:jc w:val="both"/>
        <w:rPr>
          <w:color w:val="000000"/>
          <w:sz w:val="28"/>
          <w:szCs w:val="28"/>
        </w:rPr>
      </w:pPr>
      <w:r>
        <w:rPr>
          <w:color w:val="000000"/>
          <w:sz w:val="28"/>
          <w:szCs w:val="28"/>
        </w:rPr>
        <w:t>- гипокалиемия</w:t>
      </w:r>
    </w:p>
    <w:p w:rsidR="00052051" w:rsidRDefault="00052051" w:rsidP="00052051">
      <w:pPr>
        <w:jc w:val="both"/>
        <w:rPr>
          <w:color w:val="000000"/>
          <w:sz w:val="28"/>
          <w:szCs w:val="28"/>
        </w:rPr>
      </w:pPr>
      <w:r>
        <w:rPr>
          <w:color w:val="000000"/>
          <w:sz w:val="28"/>
          <w:szCs w:val="28"/>
        </w:rPr>
        <w:t xml:space="preserve">- бессонница </w:t>
      </w:r>
    </w:p>
    <w:p w:rsidR="00052051" w:rsidRDefault="00052051" w:rsidP="00052051">
      <w:pPr>
        <w:jc w:val="both"/>
        <w:rPr>
          <w:color w:val="000000"/>
          <w:sz w:val="28"/>
          <w:szCs w:val="28"/>
        </w:rPr>
      </w:pPr>
      <w:r>
        <w:rPr>
          <w:color w:val="000000"/>
          <w:sz w:val="28"/>
          <w:szCs w:val="28"/>
        </w:rPr>
        <w:t xml:space="preserve">- головокружение </w:t>
      </w:r>
    </w:p>
    <w:p w:rsidR="00052051" w:rsidRDefault="00052051" w:rsidP="00052051">
      <w:pPr>
        <w:jc w:val="both"/>
        <w:rPr>
          <w:color w:val="000000"/>
          <w:sz w:val="28"/>
          <w:szCs w:val="28"/>
        </w:rPr>
      </w:pPr>
      <w:r>
        <w:rPr>
          <w:color w:val="000000"/>
          <w:sz w:val="28"/>
          <w:szCs w:val="28"/>
        </w:rPr>
        <w:t>- тошнота, рвота, запор, диарея</w:t>
      </w:r>
    </w:p>
    <w:p w:rsidR="00052051" w:rsidRDefault="00052051" w:rsidP="00052051">
      <w:pPr>
        <w:jc w:val="both"/>
        <w:rPr>
          <w:color w:val="000000"/>
          <w:sz w:val="28"/>
          <w:szCs w:val="28"/>
        </w:rPr>
      </w:pPr>
      <w:r>
        <w:rPr>
          <w:color w:val="000000"/>
          <w:sz w:val="28"/>
          <w:szCs w:val="28"/>
        </w:rPr>
        <w:t xml:space="preserve">- тахикардия,   экстрасистолы, фибрилляция предсердий, желудочковая   </w:t>
      </w:r>
    </w:p>
    <w:p w:rsidR="00052051" w:rsidRDefault="00052051" w:rsidP="00052051">
      <w:pPr>
        <w:jc w:val="both"/>
        <w:rPr>
          <w:color w:val="000000"/>
          <w:sz w:val="28"/>
          <w:szCs w:val="28"/>
        </w:rPr>
      </w:pPr>
      <w:r>
        <w:rPr>
          <w:color w:val="000000"/>
          <w:sz w:val="28"/>
          <w:szCs w:val="28"/>
        </w:rPr>
        <w:t xml:space="preserve">  экстрасистолия,   сердечная   недостаточность, ишемия миокарда </w:t>
      </w:r>
    </w:p>
    <w:p w:rsidR="00052051" w:rsidRDefault="00052051" w:rsidP="00052051">
      <w:pPr>
        <w:jc w:val="both"/>
        <w:rPr>
          <w:i/>
          <w:iCs/>
          <w:color w:val="000000"/>
          <w:sz w:val="28"/>
          <w:szCs w:val="28"/>
        </w:rPr>
      </w:pPr>
      <w:r>
        <w:rPr>
          <w:color w:val="000000"/>
          <w:sz w:val="28"/>
          <w:szCs w:val="28"/>
        </w:rPr>
        <w:t>- снижение уровня гемоглобина</w:t>
      </w:r>
      <w:r>
        <w:rPr>
          <w:i/>
          <w:iCs/>
          <w:color w:val="000000"/>
          <w:sz w:val="28"/>
          <w:szCs w:val="28"/>
        </w:rPr>
        <w:t xml:space="preserve"> </w:t>
      </w:r>
    </w:p>
    <w:p w:rsidR="00052051" w:rsidRDefault="00052051" w:rsidP="00052051">
      <w:pPr>
        <w:jc w:val="both"/>
        <w:rPr>
          <w:i/>
          <w:iCs/>
          <w:color w:val="000000"/>
          <w:sz w:val="28"/>
          <w:szCs w:val="28"/>
        </w:rPr>
      </w:pPr>
      <w:r>
        <w:rPr>
          <w:i/>
          <w:iCs/>
          <w:color w:val="000000"/>
          <w:sz w:val="28"/>
          <w:szCs w:val="28"/>
        </w:rPr>
        <w:t>Очень часто</w:t>
      </w:r>
    </w:p>
    <w:p w:rsidR="00052051" w:rsidRDefault="00052051" w:rsidP="00052051">
      <w:pPr>
        <w:jc w:val="both"/>
        <w:rPr>
          <w:color w:val="000000"/>
          <w:sz w:val="28"/>
          <w:szCs w:val="28"/>
        </w:rPr>
      </w:pPr>
      <w:r>
        <w:rPr>
          <w:color w:val="000000"/>
          <w:sz w:val="28"/>
          <w:szCs w:val="28"/>
        </w:rPr>
        <w:t>- головная боль</w:t>
      </w:r>
    </w:p>
    <w:p w:rsidR="00052051" w:rsidRDefault="00052051" w:rsidP="00052051">
      <w:pPr>
        <w:jc w:val="both"/>
        <w:rPr>
          <w:color w:val="000000"/>
          <w:sz w:val="28"/>
          <w:szCs w:val="28"/>
        </w:rPr>
      </w:pPr>
      <w:r>
        <w:rPr>
          <w:color w:val="000000"/>
          <w:sz w:val="28"/>
          <w:szCs w:val="28"/>
        </w:rPr>
        <w:t>- желудочковая тахикардия</w:t>
      </w:r>
    </w:p>
    <w:p w:rsidR="00052051" w:rsidRDefault="00052051" w:rsidP="00052051">
      <w:pPr>
        <w:jc w:val="both"/>
        <w:rPr>
          <w:color w:val="000000"/>
          <w:sz w:val="28"/>
          <w:szCs w:val="28"/>
        </w:rPr>
      </w:pPr>
      <w:r>
        <w:rPr>
          <w:color w:val="000000"/>
          <w:sz w:val="28"/>
          <w:szCs w:val="28"/>
        </w:rPr>
        <w:t>- артериальная гипотензия</w:t>
      </w:r>
    </w:p>
    <w:p w:rsidR="00052051" w:rsidRDefault="00052051" w:rsidP="00052051">
      <w:pPr>
        <w:jc w:val="both"/>
        <w:rPr>
          <w:color w:val="000000"/>
          <w:sz w:val="28"/>
          <w:szCs w:val="28"/>
        </w:rPr>
      </w:pPr>
    </w:p>
    <w:p w:rsidR="00052051" w:rsidRDefault="00052051" w:rsidP="00052051">
      <w:pPr>
        <w:jc w:val="both"/>
        <w:rPr>
          <w:b/>
          <w:sz w:val="28"/>
          <w:szCs w:val="28"/>
          <w:lang w:val="uk-UA"/>
        </w:rPr>
      </w:pPr>
      <w:r>
        <w:rPr>
          <w:b/>
          <w:sz w:val="28"/>
          <w:szCs w:val="28"/>
          <w:lang w:val="uk-UA"/>
        </w:rPr>
        <w:t xml:space="preserve">Противопоказания </w:t>
      </w:r>
    </w:p>
    <w:p w:rsidR="00052051" w:rsidRDefault="00052051" w:rsidP="00052051">
      <w:pPr>
        <w:jc w:val="both"/>
        <w:rPr>
          <w:rStyle w:val="FontStyle14"/>
          <w:sz w:val="28"/>
          <w:szCs w:val="28"/>
        </w:rPr>
      </w:pPr>
      <w:r>
        <w:rPr>
          <w:color w:val="000000"/>
          <w:sz w:val="28"/>
          <w:szCs w:val="28"/>
        </w:rPr>
        <w:t xml:space="preserve">- </w:t>
      </w:r>
      <w:r>
        <w:rPr>
          <w:rStyle w:val="FontStyle14"/>
          <w:sz w:val="28"/>
          <w:szCs w:val="28"/>
        </w:rPr>
        <w:t>гиперчувствительность к какому-либо компоненту препарата</w:t>
      </w:r>
    </w:p>
    <w:p w:rsidR="00052051" w:rsidRDefault="00052051" w:rsidP="00052051">
      <w:pPr>
        <w:jc w:val="both"/>
        <w:rPr>
          <w:rStyle w:val="FontStyle14"/>
          <w:sz w:val="28"/>
          <w:szCs w:val="28"/>
        </w:rPr>
      </w:pPr>
      <w:r>
        <w:rPr>
          <w:rStyle w:val="FontStyle14"/>
          <w:sz w:val="28"/>
          <w:szCs w:val="28"/>
        </w:rPr>
        <w:t xml:space="preserve">- тяжелая артериальная гипотензия и тахикардия </w:t>
      </w:r>
    </w:p>
    <w:p w:rsidR="00052051" w:rsidRDefault="00052051" w:rsidP="00052051">
      <w:pPr>
        <w:jc w:val="both"/>
        <w:rPr>
          <w:rStyle w:val="FontStyle14"/>
          <w:sz w:val="28"/>
          <w:szCs w:val="28"/>
        </w:rPr>
      </w:pPr>
      <w:r>
        <w:rPr>
          <w:rStyle w:val="FontStyle14"/>
          <w:sz w:val="28"/>
          <w:szCs w:val="28"/>
        </w:rPr>
        <w:t>- тяжелые нарушения функции почек (клиренс креатинина &lt; 30 мл/мин)</w:t>
      </w:r>
    </w:p>
    <w:p w:rsidR="00052051" w:rsidRDefault="00052051" w:rsidP="00052051">
      <w:pPr>
        <w:jc w:val="both"/>
        <w:rPr>
          <w:rStyle w:val="FontStyle14"/>
          <w:sz w:val="28"/>
          <w:szCs w:val="28"/>
        </w:rPr>
      </w:pPr>
      <w:r>
        <w:rPr>
          <w:rStyle w:val="FontStyle14"/>
          <w:sz w:val="28"/>
          <w:szCs w:val="28"/>
        </w:rPr>
        <w:t>- тяжелые нарушения функции печени</w:t>
      </w:r>
    </w:p>
    <w:p w:rsidR="00052051" w:rsidRDefault="00052051" w:rsidP="00052051">
      <w:pPr>
        <w:jc w:val="both"/>
        <w:rPr>
          <w:rStyle w:val="FontStyle14"/>
          <w:sz w:val="28"/>
          <w:szCs w:val="28"/>
        </w:rPr>
      </w:pPr>
      <w:r>
        <w:rPr>
          <w:rStyle w:val="FontStyle14"/>
          <w:sz w:val="28"/>
          <w:szCs w:val="28"/>
        </w:rPr>
        <w:t xml:space="preserve">- значительная механическая обструкция, влияющая на наполнение </w:t>
      </w:r>
    </w:p>
    <w:p w:rsidR="00052051" w:rsidRDefault="00052051" w:rsidP="00052051">
      <w:pPr>
        <w:jc w:val="both"/>
        <w:rPr>
          <w:rStyle w:val="FontStyle14"/>
          <w:sz w:val="28"/>
          <w:szCs w:val="28"/>
        </w:rPr>
      </w:pPr>
      <w:r>
        <w:rPr>
          <w:rStyle w:val="FontStyle14"/>
          <w:sz w:val="28"/>
          <w:szCs w:val="28"/>
        </w:rPr>
        <w:t xml:space="preserve">  желудочков сердца кровью и/или затрудняющая отток крови из них</w:t>
      </w:r>
    </w:p>
    <w:p w:rsidR="00052051" w:rsidRDefault="00052051" w:rsidP="00052051">
      <w:pPr>
        <w:jc w:val="both"/>
        <w:rPr>
          <w:rStyle w:val="FontStyle14"/>
          <w:sz w:val="28"/>
          <w:szCs w:val="28"/>
        </w:rPr>
      </w:pPr>
      <w:r>
        <w:rPr>
          <w:rStyle w:val="FontStyle14"/>
          <w:sz w:val="28"/>
          <w:szCs w:val="28"/>
        </w:rPr>
        <w:t xml:space="preserve">- </w:t>
      </w:r>
      <w:r>
        <w:rPr>
          <w:rStyle w:val="FontStyle14"/>
          <w:sz w:val="28"/>
          <w:szCs w:val="28"/>
          <w:lang w:val="en-US"/>
        </w:rPr>
        <w:t>torsades</w:t>
      </w:r>
      <w:r w:rsidRPr="006D5125">
        <w:rPr>
          <w:rStyle w:val="FontStyle14"/>
          <w:sz w:val="28"/>
          <w:szCs w:val="28"/>
        </w:rPr>
        <w:t xml:space="preserve"> </w:t>
      </w:r>
      <w:r>
        <w:rPr>
          <w:rStyle w:val="FontStyle14"/>
          <w:sz w:val="28"/>
          <w:szCs w:val="28"/>
          <w:lang w:val="en-US"/>
        </w:rPr>
        <w:t>de</w:t>
      </w:r>
      <w:r w:rsidRPr="006D5125">
        <w:rPr>
          <w:rStyle w:val="FontStyle14"/>
          <w:sz w:val="28"/>
          <w:szCs w:val="28"/>
        </w:rPr>
        <w:t xml:space="preserve"> </w:t>
      </w:r>
      <w:r>
        <w:rPr>
          <w:rStyle w:val="FontStyle14"/>
          <w:sz w:val="28"/>
          <w:szCs w:val="28"/>
          <w:lang w:val="en-US"/>
        </w:rPr>
        <w:t>pointes</w:t>
      </w:r>
      <w:r>
        <w:rPr>
          <w:rStyle w:val="FontStyle14"/>
          <w:sz w:val="28"/>
          <w:szCs w:val="28"/>
        </w:rPr>
        <w:t xml:space="preserve"> в анамнезе</w:t>
      </w:r>
    </w:p>
    <w:p w:rsidR="00052051" w:rsidRDefault="00052051" w:rsidP="00052051">
      <w:pPr>
        <w:shd w:val="clear" w:color="auto" w:fill="FFFFFF"/>
        <w:jc w:val="both"/>
        <w:rPr>
          <w:b/>
        </w:rPr>
      </w:pPr>
    </w:p>
    <w:p w:rsidR="00052051" w:rsidRDefault="00052051" w:rsidP="00052051">
      <w:pPr>
        <w:shd w:val="clear" w:color="auto" w:fill="FFFFFF"/>
        <w:jc w:val="both"/>
        <w:rPr>
          <w:b/>
          <w:sz w:val="28"/>
          <w:szCs w:val="28"/>
        </w:rPr>
      </w:pPr>
      <w:r>
        <w:rPr>
          <w:b/>
          <w:sz w:val="28"/>
          <w:szCs w:val="28"/>
        </w:rPr>
        <w:lastRenderedPageBreak/>
        <w:t>Лекарственные взаимодействия</w:t>
      </w:r>
    </w:p>
    <w:p w:rsidR="00052051" w:rsidRDefault="00052051" w:rsidP="00052051">
      <w:pPr>
        <w:jc w:val="both"/>
        <w:rPr>
          <w:sz w:val="28"/>
          <w:szCs w:val="28"/>
        </w:rPr>
      </w:pPr>
      <w:r>
        <w:rPr>
          <w:sz w:val="28"/>
          <w:szCs w:val="28"/>
        </w:rPr>
        <w:t>Симдакс</w:t>
      </w:r>
      <w:r>
        <w:rPr>
          <w:rStyle w:val="FontStyle14"/>
          <w:sz w:val="28"/>
          <w:szCs w:val="28"/>
        </w:rPr>
        <w:t xml:space="preserve"> следует применять с осторожностью одновременно с другими внутривенными вазоактивными препаратами, из-за повышенного риска развития артериальной гипотензии. Исследования </w:t>
      </w:r>
      <w:r>
        <w:rPr>
          <w:rStyle w:val="FontStyle14"/>
          <w:i/>
          <w:iCs/>
          <w:sz w:val="28"/>
          <w:szCs w:val="28"/>
        </w:rPr>
        <w:t xml:space="preserve">in vitro </w:t>
      </w:r>
      <w:r>
        <w:rPr>
          <w:rStyle w:val="FontStyle14"/>
          <w:sz w:val="28"/>
          <w:szCs w:val="28"/>
        </w:rPr>
        <w:t xml:space="preserve">показали, </w:t>
      </w:r>
      <w:r>
        <w:rPr>
          <w:sz w:val="28"/>
          <w:szCs w:val="28"/>
        </w:rPr>
        <w:t xml:space="preserve">что Симдакс вызывает взаимодействие с другими лекарственными средствами, которые метаболизируются ферментами цитохрома Р450 (CYP) из-за его низкой афинности к разным CYP - изоформам. </w:t>
      </w:r>
    </w:p>
    <w:p w:rsidR="00052051" w:rsidRDefault="00052051" w:rsidP="00052051">
      <w:pPr>
        <w:jc w:val="both"/>
        <w:rPr>
          <w:sz w:val="28"/>
          <w:szCs w:val="28"/>
        </w:rPr>
      </w:pPr>
      <w:r>
        <w:rPr>
          <w:sz w:val="28"/>
          <w:szCs w:val="28"/>
        </w:rPr>
        <w:t xml:space="preserve">Выведение активного метаболита не было окончательно оценено. Возможное взаимодействие может привести к четкому и продленному эффекту на сердечный ритм. Длительность этого эффекта может быть дольше, чем 7 - 9 дней, что обычно наблюдается после инфузии препарата Симдакс. </w:t>
      </w:r>
    </w:p>
    <w:p w:rsidR="00052051" w:rsidRDefault="00052051" w:rsidP="00052051">
      <w:pPr>
        <w:jc w:val="both"/>
        <w:rPr>
          <w:sz w:val="28"/>
          <w:szCs w:val="28"/>
        </w:rPr>
      </w:pPr>
      <w:r>
        <w:rPr>
          <w:sz w:val="28"/>
          <w:szCs w:val="28"/>
        </w:rPr>
        <w:t xml:space="preserve">Симдакс можно без потери эффективности вводить пациентам, которые принимают β-адреноблокаторы и дигоксин. </w:t>
      </w:r>
    </w:p>
    <w:p w:rsidR="00052051" w:rsidRDefault="00052051" w:rsidP="00052051">
      <w:pPr>
        <w:jc w:val="both"/>
        <w:rPr>
          <w:sz w:val="28"/>
          <w:szCs w:val="28"/>
        </w:rPr>
      </w:pPr>
    </w:p>
    <w:p w:rsidR="00052051" w:rsidRDefault="00052051" w:rsidP="00052051">
      <w:pPr>
        <w:jc w:val="both"/>
        <w:rPr>
          <w:b/>
          <w:sz w:val="28"/>
          <w:szCs w:val="28"/>
        </w:rPr>
      </w:pPr>
      <w:r>
        <w:rPr>
          <w:b/>
          <w:sz w:val="28"/>
          <w:szCs w:val="28"/>
        </w:rPr>
        <w:t>Особые указания</w:t>
      </w:r>
    </w:p>
    <w:p w:rsidR="00052051" w:rsidRDefault="00052051" w:rsidP="00052051">
      <w:pPr>
        <w:jc w:val="both"/>
        <w:rPr>
          <w:sz w:val="28"/>
          <w:szCs w:val="28"/>
        </w:rPr>
      </w:pPr>
      <w:r>
        <w:rPr>
          <w:sz w:val="28"/>
          <w:szCs w:val="28"/>
        </w:rPr>
        <w:t>Симдакс предназначен для применения только в специализированных медицинских учреждениях. Его можно применять в больницах, где есть необходимое оборудование для контроля и оценки состояния пациента, а также, если есть опыт применения инотропных средств.</w:t>
      </w:r>
    </w:p>
    <w:p w:rsidR="00052051" w:rsidRDefault="00052051" w:rsidP="00052051">
      <w:pPr>
        <w:shd w:val="clear" w:color="auto" w:fill="FFFFFF"/>
        <w:ind w:right="-25"/>
        <w:jc w:val="both"/>
        <w:rPr>
          <w:i/>
          <w:iCs/>
          <w:spacing w:val="-2"/>
          <w:sz w:val="28"/>
          <w:szCs w:val="28"/>
        </w:rPr>
      </w:pPr>
      <w:r>
        <w:rPr>
          <w:sz w:val="28"/>
          <w:szCs w:val="28"/>
        </w:rPr>
        <w:t>Симдакс предназначен для введения в центральные и периферические вены. Как и все парентеральные лекарственные средства, необходимо тщательно осматривать разведённый раствор до введения на наличие твёрдых частиц и изменение цвета.</w:t>
      </w:r>
      <w:r>
        <w:rPr>
          <w:i/>
          <w:iCs/>
          <w:spacing w:val="-2"/>
          <w:sz w:val="28"/>
          <w:szCs w:val="28"/>
        </w:rPr>
        <w:t xml:space="preserve"> </w:t>
      </w:r>
    </w:p>
    <w:p w:rsidR="00052051" w:rsidRDefault="00052051" w:rsidP="00052051">
      <w:pPr>
        <w:shd w:val="clear" w:color="auto" w:fill="FFFFFF"/>
        <w:ind w:right="-25"/>
        <w:jc w:val="both"/>
        <w:rPr>
          <w:sz w:val="28"/>
          <w:szCs w:val="28"/>
        </w:rPr>
      </w:pPr>
      <w:r>
        <w:rPr>
          <w:sz w:val="28"/>
          <w:szCs w:val="28"/>
        </w:rPr>
        <w:t xml:space="preserve">Приготовленный раствор можно хранить в течение 24 часов при температуре не выше 25°С. С микробиологической точки зрения раствор рекомендуется использовать сразу после </w:t>
      </w:r>
      <w:r>
        <w:rPr>
          <w:spacing w:val="-3"/>
          <w:sz w:val="28"/>
          <w:szCs w:val="28"/>
        </w:rPr>
        <w:t>приготовления.</w:t>
      </w:r>
    </w:p>
    <w:p w:rsidR="00052051" w:rsidRDefault="00052051" w:rsidP="00052051">
      <w:pPr>
        <w:jc w:val="both"/>
        <w:rPr>
          <w:sz w:val="28"/>
          <w:szCs w:val="28"/>
        </w:rPr>
      </w:pPr>
      <w:r>
        <w:rPr>
          <w:sz w:val="28"/>
          <w:szCs w:val="28"/>
        </w:rPr>
        <w:t>Начальный гемодинамический эффект Симдакса может вызвать снижение систолического и диастолического давления, следовательно, Симдакс следует применять с осторожностью пациентам с низким уровнем систолического и диастоличесого давления или с риском возникновения эпизодов гипотензии. Если наблюдаются чрезмерные изменения показателей артериального давления или сердечного ритма, необходимо уменьшить скорость инфузий или прекратить ее.</w:t>
      </w:r>
    </w:p>
    <w:p w:rsidR="00052051" w:rsidRDefault="00052051" w:rsidP="00052051">
      <w:pPr>
        <w:jc w:val="both"/>
        <w:rPr>
          <w:sz w:val="28"/>
          <w:szCs w:val="28"/>
        </w:rPr>
      </w:pPr>
      <w:r>
        <w:rPr>
          <w:sz w:val="28"/>
          <w:szCs w:val="28"/>
        </w:rPr>
        <w:t>Рекомендуется неинвазивный контроль уровня артериального давления, ЧСС (числа сердечных сокращений), мониторинг ЭКГ, контроль диуреза по меньшей мере, на протяжении 4-5 дней после прекращения инфузий или до тех пор, пока не настанет клиническая стабилизация пациента. У пациентов с легкой или средней степенью тяжести печёночной или почечной недостаточности мониторинг рекомендуется проводить на протяжении не менее 5 дней.</w:t>
      </w:r>
    </w:p>
    <w:p w:rsidR="00052051" w:rsidRDefault="00052051" w:rsidP="00052051">
      <w:pPr>
        <w:jc w:val="both"/>
        <w:rPr>
          <w:sz w:val="28"/>
          <w:szCs w:val="28"/>
        </w:rPr>
      </w:pPr>
      <w:r>
        <w:rPr>
          <w:sz w:val="28"/>
          <w:szCs w:val="28"/>
        </w:rPr>
        <w:t xml:space="preserve">Необходимо с осторожностью назначать Симдакс пациентам с почечной или печеночной недостаточностью легкой и умеренной степени тяжести. </w:t>
      </w:r>
    </w:p>
    <w:p w:rsidR="00052051" w:rsidRDefault="00052051" w:rsidP="00052051">
      <w:pPr>
        <w:jc w:val="both"/>
        <w:rPr>
          <w:sz w:val="28"/>
          <w:szCs w:val="28"/>
        </w:rPr>
      </w:pPr>
      <w:r>
        <w:rPr>
          <w:sz w:val="28"/>
          <w:szCs w:val="28"/>
        </w:rPr>
        <w:t xml:space="preserve">Пациенты с продолжительной желудочковой тахикардией. непродолжительной тахикардией, которая не связана с реперфузией, или </w:t>
      </w:r>
      <w:r>
        <w:rPr>
          <w:sz w:val="28"/>
          <w:szCs w:val="28"/>
        </w:rPr>
        <w:lastRenderedPageBreak/>
        <w:t>опасной для жизни аритмией, до начала введения препарата должны быть пролечены по поводу аритмии. Симдакс необходимо применять                           с осторожностью и под тщательным ЭКГ - мониторингом пациентам                    с коронарной ишемией, удлиненным интервалом QT независимо от этиологии, или в том случае, если препарат вводится одновременно с лекарственными средствами, которые удлиняют интервал QT.</w:t>
      </w:r>
    </w:p>
    <w:p w:rsidR="00052051" w:rsidRDefault="00052051" w:rsidP="00052051">
      <w:pPr>
        <w:jc w:val="both"/>
        <w:rPr>
          <w:sz w:val="28"/>
          <w:szCs w:val="28"/>
        </w:rPr>
      </w:pPr>
      <w:r>
        <w:rPr>
          <w:sz w:val="28"/>
          <w:szCs w:val="28"/>
        </w:rPr>
        <w:t>Перед применением Симдакса следует купировать аритмию и стабилизировать клиническое состояние пациентов с постоянной формой желудочковой тахикардии, пароксизмальной тахикардией, не связанной с реперфузией или угрожающими жизни формами аритмии.</w:t>
      </w:r>
    </w:p>
    <w:p w:rsidR="00052051" w:rsidRDefault="00052051" w:rsidP="00052051">
      <w:pPr>
        <w:jc w:val="both"/>
        <w:rPr>
          <w:sz w:val="28"/>
          <w:szCs w:val="28"/>
        </w:rPr>
      </w:pPr>
      <w:r>
        <w:rPr>
          <w:sz w:val="28"/>
          <w:szCs w:val="28"/>
        </w:rPr>
        <w:t>Использование Симдакс при кардиогенном шоке не изучено.</w:t>
      </w:r>
    </w:p>
    <w:p w:rsidR="00052051" w:rsidRDefault="00052051" w:rsidP="00052051">
      <w:pPr>
        <w:jc w:val="both"/>
        <w:rPr>
          <w:sz w:val="28"/>
          <w:szCs w:val="28"/>
        </w:rPr>
      </w:pPr>
      <w:r>
        <w:rPr>
          <w:sz w:val="28"/>
          <w:szCs w:val="28"/>
        </w:rPr>
        <w:t>Нет данных о применении Симдакса при следующих нарушениях: рестриктивная кардиомиопатия. гипертрофическая кардиомиопатия. недостаточность митрального клапана тяжелой степени, разрыв миокарда, тампонада сердца, инфаркт правого желудочка.</w:t>
      </w:r>
    </w:p>
    <w:p w:rsidR="00052051" w:rsidRDefault="00052051" w:rsidP="00052051">
      <w:pPr>
        <w:jc w:val="both"/>
        <w:rPr>
          <w:sz w:val="28"/>
          <w:szCs w:val="28"/>
        </w:rPr>
      </w:pPr>
      <w:r>
        <w:rPr>
          <w:sz w:val="28"/>
          <w:szCs w:val="28"/>
        </w:rPr>
        <w:t>Имеется лишь ограниченный опыт применения препарата в следующих случаях: острая сердечная недостаточность, обусловленная некардиальными причинами, серьезное ухудшение сердечной недостаточности после хирургической операции и тяжёлая сердечная недостаточность у пациентов, которые ожидают пересадки сердца. Поэтому необходимы специальные меры безопасности.</w:t>
      </w:r>
    </w:p>
    <w:p w:rsidR="00052051" w:rsidRDefault="00052051" w:rsidP="00052051">
      <w:pPr>
        <w:jc w:val="both"/>
        <w:rPr>
          <w:i/>
          <w:sz w:val="28"/>
          <w:szCs w:val="28"/>
        </w:rPr>
      </w:pPr>
      <w:r>
        <w:rPr>
          <w:i/>
          <w:sz w:val="28"/>
          <w:szCs w:val="28"/>
        </w:rPr>
        <w:t>Применение в педиатрии</w:t>
      </w:r>
    </w:p>
    <w:p w:rsidR="00052051" w:rsidRDefault="00052051" w:rsidP="00052051">
      <w:pPr>
        <w:jc w:val="both"/>
        <w:rPr>
          <w:sz w:val="28"/>
          <w:szCs w:val="28"/>
        </w:rPr>
      </w:pPr>
      <w:r>
        <w:rPr>
          <w:sz w:val="28"/>
          <w:szCs w:val="28"/>
        </w:rPr>
        <w:t>Клинический опыт применения у детей ограничен.</w:t>
      </w:r>
    </w:p>
    <w:p w:rsidR="00052051" w:rsidRDefault="00052051" w:rsidP="00052051">
      <w:pPr>
        <w:jc w:val="both"/>
        <w:rPr>
          <w:sz w:val="28"/>
          <w:szCs w:val="28"/>
        </w:rPr>
      </w:pPr>
      <w:r>
        <w:rPr>
          <w:i/>
          <w:sz w:val="28"/>
          <w:szCs w:val="28"/>
        </w:rPr>
        <w:t>Пациенты пожилого возраста</w:t>
      </w:r>
    </w:p>
    <w:p w:rsidR="00052051" w:rsidRDefault="00052051" w:rsidP="00052051">
      <w:pPr>
        <w:jc w:val="both"/>
        <w:rPr>
          <w:sz w:val="28"/>
          <w:szCs w:val="28"/>
        </w:rPr>
      </w:pPr>
      <w:r>
        <w:rPr>
          <w:sz w:val="28"/>
          <w:szCs w:val="28"/>
        </w:rPr>
        <w:t>Коррекция дозы не нужна.</w:t>
      </w:r>
    </w:p>
    <w:p w:rsidR="00052051" w:rsidRDefault="00052051" w:rsidP="00052051">
      <w:pPr>
        <w:jc w:val="both"/>
        <w:rPr>
          <w:sz w:val="28"/>
          <w:szCs w:val="28"/>
        </w:rPr>
      </w:pPr>
      <w:r>
        <w:rPr>
          <w:i/>
          <w:sz w:val="28"/>
          <w:szCs w:val="28"/>
        </w:rPr>
        <w:t>Применение у пациентов с почечной и печеночной недостаточностью</w:t>
      </w:r>
    </w:p>
    <w:p w:rsidR="00052051" w:rsidRDefault="00052051" w:rsidP="00052051">
      <w:pPr>
        <w:jc w:val="both"/>
        <w:rPr>
          <w:sz w:val="28"/>
          <w:szCs w:val="28"/>
        </w:rPr>
      </w:pPr>
      <w:r>
        <w:rPr>
          <w:sz w:val="28"/>
          <w:szCs w:val="28"/>
        </w:rPr>
        <w:t xml:space="preserve">Необходимо с осторожностью назначать Симдакс пациентам с нарушением функции почек и печени легкой и средней степени тяжести. </w:t>
      </w:r>
    </w:p>
    <w:p w:rsidR="00052051" w:rsidRDefault="00052051" w:rsidP="00052051">
      <w:pPr>
        <w:jc w:val="both"/>
        <w:rPr>
          <w:i/>
          <w:sz w:val="28"/>
          <w:szCs w:val="28"/>
        </w:rPr>
      </w:pPr>
      <w:r>
        <w:rPr>
          <w:i/>
          <w:sz w:val="28"/>
          <w:szCs w:val="28"/>
        </w:rPr>
        <w:t>Беременность и период лактации</w:t>
      </w:r>
    </w:p>
    <w:p w:rsidR="00052051" w:rsidRDefault="00052051" w:rsidP="00052051">
      <w:pPr>
        <w:numPr>
          <w:ilvl w:val="12"/>
          <w:numId w:val="0"/>
        </w:numPr>
        <w:jc w:val="both"/>
        <w:rPr>
          <w:sz w:val="28"/>
          <w:szCs w:val="28"/>
        </w:rPr>
      </w:pPr>
      <w:r>
        <w:rPr>
          <w:sz w:val="28"/>
          <w:szCs w:val="28"/>
        </w:rPr>
        <w:t xml:space="preserve">Препарат не должен применяться у беременных женщин, кроме случаев явной необходимости (при четких показаниях и анализе соотношения польза / риск для матери и плода). </w:t>
      </w:r>
    </w:p>
    <w:p w:rsidR="00052051" w:rsidRDefault="00052051" w:rsidP="00052051">
      <w:pPr>
        <w:jc w:val="both"/>
        <w:rPr>
          <w:sz w:val="28"/>
          <w:szCs w:val="28"/>
        </w:rPr>
      </w:pPr>
      <w:r>
        <w:rPr>
          <w:sz w:val="28"/>
          <w:szCs w:val="28"/>
        </w:rPr>
        <w:t>Препарат выделяется с молоком, поэтому при применении препарата матерям следует прекратить кормление грудью</w:t>
      </w:r>
    </w:p>
    <w:p w:rsidR="00052051" w:rsidRDefault="00052051" w:rsidP="00052051">
      <w:pPr>
        <w:jc w:val="both"/>
        <w:rPr>
          <w:i/>
          <w:sz w:val="28"/>
          <w:szCs w:val="28"/>
        </w:rPr>
      </w:pPr>
      <w:r>
        <w:rPr>
          <w:i/>
          <w:sz w:val="28"/>
          <w:szCs w:val="28"/>
        </w:rPr>
        <w:t>Особенности влияния лекарственного средства на способность управлять автотранспортом и потенциально опасными механизмами</w:t>
      </w:r>
    </w:p>
    <w:p w:rsidR="00052051" w:rsidRDefault="00052051" w:rsidP="00052051">
      <w:pPr>
        <w:numPr>
          <w:ilvl w:val="12"/>
          <w:numId w:val="0"/>
        </w:numPr>
        <w:jc w:val="both"/>
        <w:rPr>
          <w:sz w:val="28"/>
          <w:szCs w:val="28"/>
        </w:rPr>
      </w:pPr>
      <w:r>
        <w:rPr>
          <w:sz w:val="28"/>
          <w:szCs w:val="28"/>
        </w:rPr>
        <w:t>Учитывая побочные действия  лекарственного средства следует соблюдать осторожность при управлении автотранспортом и другими потенциально опасными механизмами.</w:t>
      </w:r>
    </w:p>
    <w:p w:rsidR="00052051" w:rsidRDefault="00052051" w:rsidP="00052051">
      <w:pPr>
        <w:jc w:val="both"/>
        <w:rPr>
          <w:sz w:val="28"/>
          <w:szCs w:val="28"/>
        </w:rPr>
      </w:pPr>
    </w:p>
    <w:p w:rsidR="00052051" w:rsidRDefault="00052051" w:rsidP="00052051">
      <w:pPr>
        <w:jc w:val="both"/>
        <w:rPr>
          <w:b/>
          <w:sz w:val="28"/>
          <w:szCs w:val="28"/>
        </w:rPr>
      </w:pPr>
      <w:r>
        <w:rPr>
          <w:b/>
          <w:sz w:val="28"/>
          <w:szCs w:val="28"/>
        </w:rPr>
        <w:t>Передозировка</w:t>
      </w:r>
    </w:p>
    <w:p w:rsidR="00052051" w:rsidRDefault="00052051" w:rsidP="00052051">
      <w:pPr>
        <w:jc w:val="both"/>
        <w:rPr>
          <w:sz w:val="28"/>
          <w:szCs w:val="28"/>
        </w:rPr>
      </w:pPr>
      <w:r>
        <w:rPr>
          <w:i/>
          <w:sz w:val="28"/>
          <w:szCs w:val="28"/>
        </w:rPr>
        <w:t>Симптомы:</w:t>
      </w:r>
      <w:r>
        <w:rPr>
          <w:sz w:val="28"/>
          <w:szCs w:val="28"/>
        </w:rPr>
        <w:t xml:space="preserve"> артериальная гипотензия и тахикардия.  </w:t>
      </w:r>
    </w:p>
    <w:p w:rsidR="00052051" w:rsidRDefault="00052051" w:rsidP="00052051">
      <w:pPr>
        <w:jc w:val="both"/>
        <w:rPr>
          <w:sz w:val="28"/>
          <w:szCs w:val="28"/>
        </w:rPr>
      </w:pPr>
      <w:r>
        <w:rPr>
          <w:i/>
          <w:sz w:val="28"/>
          <w:szCs w:val="28"/>
        </w:rPr>
        <w:t xml:space="preserve">Лечение: </w:t>
      </w:r>
      <w:r>
        <w:rPr>
          <w:sz w:val="28"/>
          <w:szCs w:val="28"/>
        </w:rPr>
        <w:t xml:space="preserve">продолжительный контроль ЭКГ, повторное определение сывороточных электролитов и инвазивный гемодинамический мониторинг. </w:t>
      </w:r>
    </w:p>
    <w:p w:rsidR="00052051" w:rsidRDefault="00052051" w:rsidP="00052051">
      <w:pPr>
        <w:jc w:val="both"/>
        <w:rPr>
          <w:sz w:val="28"/>
          <w:szCs w:val="28"/>
        </w:rPr>
      </w:pPr>
    </w:p>
    <w:p w:rsidR="00052051" w:rsidRDefault="00052051" w:rsidP="00052051">
      <w:pPr>
        <w:jc w:val="both"/>
        <w:rPr>
          <w:b/>
          <w:sz w:val="28"/>
          <w:szCs w:val="28"/>
        </w:rPr>
      </w:pPr>
      <w:r>
        <w:rPr>
          <w:b/>
          <w:sz w:val="28"/>
          <w:szCs w:val="28"/>
        </w:rPr>
        <w:lastRenderedPageBreak/>
        <w:t>Форма выпуска и упаковка</w:t>
      </w:r>
    </w:p>
    <w:p w:rsidR="00052051" w:rsidRDefault="00052051" w:rsidP="00052051">
      <w:pPr>
        <w:shd w:val="clear" w:color="auto" w:fill="FFFFFF"/>
        <w:ind w:right="-25"/>
        <w:jc w:val="both"/>
        <w:rPr>
          <w:sz w:val="28"/>
          <w:szCs w:val="28"/>
        </w:rPr>
      </w:pPr>
      <w:r>
        <w:rPr>
          <w:spacing w:val="-2"/>
          <w:sz w:val="28"/>
          <w:szCs w:val="28"/>
        </w:rPr>
        <w:t xml:space="preserve">По 5 мл препарата разливают в стеклянные флаконы. </w:t>
      </w:r>
      <w:r>
        <w:rPr>
          <w:sz w:val="28"/>
          <w:szCs w:val="28"/>
        </w:rPr>
        <w:t xml:space="preserve">По 1 флакону вместе с инструкцией по медицинскому применению на государственном и русском языках помещают в картонную коробку.   </w:t>
      </w:r>
    </w:p>
    <w:p w:rsidR="00052051" w:rsidRDefault="00052051" w:rsidP="00052051">
      <w:pPr>
        <w:jc w:val="both"/>
        <w:rPr>
          <w:color w:val="000000"/>
          <w:spacing w:val="-4"/>
          <w:sz w:val="28"/>
          <w:szCs w:val="28"/>
        </w:rPr>
      </w:pPr>
    </w:p>
    <w:p w:rsidR="00052051" w:rsidRDefault="00052051" w:rsidP="00052051">
      <w:pPr>
        <w:ind w:right="11"/>
        <w:jc w:val="both"/>
        <w:outlineLvl w:val="0"/>
        <w:rPr>
          <w:b/>
          <w:bCs/>
          <w:sz w:val="28"/>
          <w:szCs w:val="28"/>
          <w:lang w:val="uk-UA"/>
        </w:rPr>
      </w:pPr>
    </w:p>
    <w:p w:rsidR="00052051" w:rsidRDefault="00052051" w:rsidP="00052051">
      <w:pPr>
        <w:ind w:right="11"/>
        <w:jc w:val="both"/>
        <w:outlineLvl w:val="0"/>
        <w:rPr>
          <w:b/>
          <w:bCs/>
          <w:sz w:val="28"/>
          <w:szCs w:val="28"/>
          <w:lang w:val="uk-UA"/>
        </w:rPr>
      </w:pPr>
      <w:r>
        <w:rPr>
          <w:b/>
          <w:bCs/>
          <w:sz w:val="28"/>
          <w:szCs w:val="28"/>
          <w:lang w:val="uk-UA"/>
        </w:rPr>
        <w:t>Условия хранения</w:t>
      </w:r>
    </w:p>
    <w:p w:rsidR="00052051" w:rsidRDefault="00052051" w:rsidP="00052051">
      <w:pPr>
        <w:shd w:val="clear" w:color="auto" w:fill="FFFFFF"/>
        <w:ind w:right="-25"/>
        <w:jc w:val="both"/>
        <w:rPr>
          <w:rFonts w:ascii="Arial" w:hAnsi="Arial" w:cs="Arial"/>
          <w:i/>
          <w:iCs/>
          <w:spacing w:val="-2"/>
        </w:rPr>
      </w:pPr>
      <w:r>
        <w:rPr>
          <w:color w:val="000000"/>
          <w:spacing w:val="-4"/>
          <w:sz w:val="28"/>
          <w:szCs w:val="28"/>
        </w:rPr>
        <w:t>Хранить при температуре от 2 до 8</w:t>
      </w:r>
      <w:r>
        <w:rPr>
          <w:color w:val="000000"/>
          <w:spacing w:val="-4"/>
          <w:sz w:val="28"/>
          <w:szCs w:val="28"/>
        </w:rPr>
        <w:sym w:font="Symbol" w:char="F0B0"/>
      </w:r>
      <w:r>
        <w:rPr>
          <w:color w:val="000000"/>
          <w:spacing w:val="-4"/>
          <w:sz w:val="28"/>
          <w:szCs w:val="28"/>
        </w:rPr>
        <w:t>C. Не замораживать.</w:t>
      </w:r>
      <w:r>
        <w:rPr>
          <w:rFonts w:ascii="Arial" w:hAnsi="Arial" w:cs="Arial"/>
          <w:i/>
          <w:iCs/>
          <w:spacing w:val="-2"/>
        </w:rPr>
        <w:t xml:space="preserve"> </w:t>
      </w:r>
    </w:p>
    <w:p w:rsidR="00052051" w:rsidRDefault="00052051" w:rsidP="00052051">
      <w:pPr>
        <w:ind w:right="11"/>
        <w:jc w:val="both"/>
        <w:outlineLvl w:val="0"/>
        <w:rPr>
          <w:sz w:val="28"/>
          <w:szCs w:val="28"/>
        </w:rPr>
      </w:pPr>
      <w:r>
        <w:rPr>
          <w:color w:val="000000"/>
          <w:spacing w:val="-4"/>
          <w:sz w:val="28"/>
          <w:szCs w:val="28"/>
        </w:rPr>
        <w:t xml:space="preserve">Хранить в недоступном для детей месте! </w:t>
      </w:r>
    </w:p>
    <w:p w:rsidR="00052051" w:rsidRDefault="00052051" w:rsidP="00052051">
      <w:pPr>
        <w:pStyle w:val="a5"/>
        <w:jc w:val="both"/>
        <w:rPr>
          <w:rFonts w:ascii="Times New Roman" w:hAnsi="Times New Roman"/>
          <w:sz w:val="28"/>
          <w:szCs w:val="28"/>
        </w:rPr>
      </w:pPr>
    </w:p>
    <w:p w:rsidR="00052051" w:rsidRDefault="00052051" w:rsidP="00052051">
      <w:pPr>
        <w:shd w:val="clear" w:color="auto" w:fill="FFFFFF"/>
        <w:tabs>
          <w:tab w:val="left" w:pos="7925"/>
        </w:tabs>
        <w:jc w:val="both"/>
        <w:rPr>
          <w:b/>
          <w:sz w:val="28"/>
          <w:szCs w:val="28"/>
        </w:rPr>
      </w:pPr>
      <w:r>
        <w:rPr>
          <w:b/>
          <w:sz w:val="28"/>
          <w:szCs w:val="28"/>
        </w:rPr>
        <w:t>Срок хранения</w:t>
      </w:r>
    </w:p>
    <w:p w:rsidR="00052051" w:rsidRDefault="00A80D29" w:rsidP="00052051">
      <w:pPr>
        <w:shd w:val="clear" w:color="auto" w:fill="FFFFFF"/>
        <w:tabs>
          <w:tab w:val="left" w:pos="7925"/>
        </w:tabs>
        <w:jc w:val="both"/>
        <w:rPr>
          <w:rFonts w:eastAsia="MS Mincho"/>
          <w:sz w:val="28"/>
          <w:szCs w:val="28"/>
        </w:rPr>
      </w:pPr>
      <w:r>
        <w:rPr>
          <w:rFonts w:eastAsia="MS Mincho"/>
          <w:sz w:val="28"/>
          <w:szCs w:val="28"/>
        </w:rPr>
        <w:t>2</w:t>
      </w:r>
      <w:r w:rsidR="00052051">
        <w:rPr>
          <w:rFonts w:eastAsia="MS Mincho"/>
          <w:sz w:val="28"/>
          <w:szCs w:val="28"/>
        </w:rPr>
        <w:t xml:space="preserve"> года</w:t>
      </w:r>
      <w:r>
        <w:rPr>
          <w:rFonts w:eastAsia="MS Mincho"/>
          <w:sz w:val="28"/>
          <w:szCs w:val="28"/>
        </w:rPr>
        <w:t>.</w:t>
      </w:r>
    </w:p>
    <w:p w:rsidR="00052051" w:rsidRDefault="00052051" w:rsidP="00052051">
      <w:pPr>
        <w:shd w:val="clear" w:color="auto" w:fill="FFFFFF"/>
        <w:tabs>
          <w:tab w:val="left" w:pos="7925"/>
        </w:tabs>
        <w:jc w:val="both"/>
        <w:rPr>
          <w:rFonts w:eastAsia="MS Mincho"/>
          <w:sz w:val="28"/>
          <w:szCs w:val="28"/>
        </w:rPr>
      </w:pPr>
      <w:r>
        <w:rPr>
          <w:rFonts w:eastAsia="MS Mincho"/>
          <w:sz w:val="28"/>
          <w:szCs w:val="28"/>
        </w:rPr>
        <w:t xml:space="preserve">Не применять </w:t>
      </w:r>
      <w:r w:rsidR="00D6651F">
        <w:rPr>
          <w:rFonts w:eastAsia="MS Mincho"/>
          <w:sz w:val="28"/>
          <w:szCs w:val="28"/>
        </w:rPr>
        <w:t xml:space="preserve"> </w:t>
      </w:r>
      <w:r w:rsidR="00D6651F" w:rsidRPr="00155CFE">
        <w:rPr>
          <w:rFonts w:eastAsia="MS Mincho"/>
          <w:sz w:val="28"/>
          <w:szCs w:val="28"/>
        </w:rPr>
        <w:t>по</w:t>
      </w:r>
      <w:r w:rsidR="00D6651F">
        <w:rPr>
          <w:rFonts w:eastAsia="MS Mincho"/>
          <w:sz w:val="28"/>
          <w:szCs w:val="28"/>
        </w:rPr>
        <w:t xml:space="preserve"> </w:t>
      </w:r>
      <w:r>
        <w:rPr>
          <w:rFonts w:eastAsia="MS Mincho"/>
          <w:sz w:val="28"/>
          <w:szCs w:val="28"/>
        </w:rPr>
        <w:t>истечени</w:t>
      </w:r>
      <w:r w:rsidR="006E2CC6">
        <w:rPr>
          <w:rFonts w:eastAsia="MS Mincho"/>
          <w:sz w:val="28"/>
          <w:szCs w:val="28"/>
        </w:rPr>
        <w:t>и</w:t>
      </w:r>
      <w:r>
        <w:rPr>
          <w:rFonts w:eastAsia="MS Mincho"/>
          <w:sz w:val="28"/>
          <w:szCs w:val="28"/>
        </w:rPr>
        <w:t xml:space="preserve"> срока годности.</w:t>
      </w:r>
    </w:p>
    <w:p w:rsidR="00052051" w:rsidRDefault="00052051" w:rsidP="00052051">
      <w:pPr>
        <w:jc w:val="both"/>
        <w:rPr>
          <w:sz w:val="28"/>
          <w:szCs w:val="28"/>
        </w:rPr>
      </w:pPr>
    </w:p>
    <w:p w:rsidR="00052051" w:rsidRDefault="00052051" w:rsidP="00052051">
      <w:pPr>
        <w:shd w:val="clear" w:color="auto" w:fill="FFFFFF"/>
        <w:tabs>
          <w:tab w:val="left" w:pos="7925"/>
        </w:tabs>
        <w:jc w:val="both"/>
        <w:rPr>
          <w:b/>
          <w:bCs/>
          <w:sz w:val="28"/>
          <w:szCs w:val="28"/>
          <w:lang w:val="uk-UA"/>
        </w:rPr>
      </w:pPr>
      <w:r>
        <w:rPr>
          <w:b/>
          <w:bCs/>
          <w:sz w:val="28"/>
          <w:szCs w:val="28"/>
          <w:lang w:val="uk-UA"/>
        </w:rPr>
        <w:t>Условия отпуска из аптек</w:t>
      </w:r>
    </w:p>
    <w:p w:rsidR="00052051" w:rsidRDefault="00052051" w:rsidP="00052051">
      <w:pPr>
        <w:shd w:val="clear" w:color="auto" w:fill="FFFFFF"/>
        <w:tabs>
          <w:tab w:val="left" w:pos="7925"/>
        </w:tabs>
        <w:jc w:val="both"/>
        <w:rPr>
          <w:rFonts w:eastAsia="MS Mincho"/>
          <w:sz w:val="28"/>
          <w:szCs w:val="28"/>
        </w:rPr>
      </w:pPr>
      <w:r>
        <w:rPr>
          <w:rFonts w:eastAsia="MS Mincho"/>
          <w:sz w:val="28"/>
          <w:szCs w:val="28"/>
        </w:rPr>
        <w:t>По рецепту</w:t>
      </w:r>
      <w:r w:rsidR="00A80D29">
        <w:rPr>
          <w:rFonts w:eastAsia="MS Mincho"/>
          <w:sz w:val="28"/>
          <w:szCs w:val="28"/>
        </w:rPr>
        <w:t>.</w:t>
      </w:r>
    </w:p>
    <w:p w:rsidR="00052051" w:rsidRDefault="00052051" w:rsidP="00052051">
      <w:pPr>
        <w:pStyle w:val="a5"/>
        <w:jc w:val="both"/>
        <w:rPr>
          <w:rFonts w:ascii="Times New Roman" w:hAnsi="Times New Roman"/>
          <w:sz w:val="28"/>
          <w:szCs w:val="28"/>
          <w:lang w:val="uk-UA"/>
        </w:rPr>
      </w:pPr>
    </w:p>
    <w:p w:rsidR="00052051" w:rsidRDefault="00052051" w:rsidP="00052051">
      <w:pPr>
        <w:jc w:val="both"/>
        <w:rPr>
          <w:b/>
          <w:sz w:val="28"/>
          <w:szCs w:val="28"/>
          <w:lang w:val="uk-UA"/>
        </w:rPr>
      </w:pPr>
      <w:r>
        <w:rPr>
          <w:b/>
          <w:sz w:val="28"/>
          <w:szCs w:val="28"/>
          <w:lang w:val="uk-UA"/>
        </w:rPr>
        <w:t>Производитель</w:t>
      </w:r>
    </w:p>
    <w:p w:rsidR="00052051" w:rsidRDefault="00052051" w:rsidP="00052051">
      <w:pPr>
        <w:jc w:val="both"/>
        <w:rPr>
          <w:sz w:val="28"/>
          <w:szCs w:val="28"/>
        </w:rPr>
      </w:pPr>
      <w:r>
        <w:rPr>
          <w:sz w:val="28"/>
          <w:szCs w:val="28"/>
        </w:rPr>
        <w:t>Орион Корпорейшн</w:t>
      </w:r>
    </w:p>
    <w:p w:rsidR="00052051" w:rsidRDefault="00052051" w:rsidP="00052051">
      <w:pPr>
        <w:jc w:val="both"/>
        <w:rPr>
          <w:bCs/>
          <w:sz w:val="28"/>
          <w:szCs w:val="28"/>
        </w:rPr>
      </w:pPr>
      <w:r>
        <w:rPr>
          <w:bCs/>
          <w:sz w:val="28"/>
          <w:szCs w:val="28"/>
        </w:rPr>
        <w:t>Орионинтие 1, 02200 Эспоо, Финляндия</w:t>
      </w:r>
    </w:p>
    <w:p w:rsidR="00052051" w:rsidRPr="00545BEA" w:rsidRDefault="00052051" w:rsidP="00052051">
      <w:pPr>
        <w:jc w:val="both"/>
        <w:rPr>
          <w:sz w:val="28"/>
          <w:szCs w:val="28"/>
        </w:rPr>
      </w:pPr>
    </w:p>
    <w:p w:rsidR="00545BEA" w:rsidRPr="00545BEA" w:rsidRDefault="00545BEA" w:rsidP="00545BEA">
      <w:pPr>
        <w:autoSpaceDE w:val="0"/>
        <w:autoSpaceDN w:val="0"/>
        <w:adjustRightInd w:val="0"/>
        <w:rPr>
          <w:rFonts w:eastAsiaTheme="minorHAnsi"/>
          <w:b/>
          <w:sz w:val="28"/>
          <w:szCs w:val="28"/>
          <w:lang w:eastAsia="en-US"/>
        </w:rPr>
      </w:pPr>
      <w:r>
        <w:rPr>
          <w:rFonts w:eastAsiaTheme="minorHAnsi"/>
          <w:b/>
          <w:sz w:val="28"/>
          <w:szCs w:val="28"/>
          <w:lang w:eastAsia="en-US"/>
        </w:rPr>
        <w:t>В</w:t>
      </w:r>
      <w:r w:rsidRPr="00545BEA">
        <w:rPr>
          <w:rFonts w:eastAsiaTheme="minorHAnsi"/>
          <w:b/>
          <w:sz w:val="28"/>
          <w:szCs w:val="28"/>
          <w:lang w:eastAsia="en-US"/>
        </w:rPr>
        <w:t>ладел</w:t>
      </w:r>
      <w:r>
        <w:rPr>
          <w:rFonts w:eastAsiaTheme="minorHAnsi"/>
          <w:b/>
          <w:sz w:val="28"/>
          <w:szCs w:val="28"/>
          <w:lang w:eastAsia="en-US"/>
        </w:rPr>
        <w:t>ец</w:t>
      </w:r>
      <w:r w:rsidRPr="00545BEA">
        <w:rPr>
          <w:rFonts w:eastAsiaTheme="minorHAnsi"/>
          <w:b/>
          <w:sz w:val="28"/>
          <w:szCs w:val="28"/>
          <w:lang w:eastAsia="en-US"/>
        </w:rPr>
        <w:t xml:space="preserve">   регистрационного удостоверения</w:t>
      </w:r>
    </w:p>
    <w:p w:rsidR="00545BEA" w:rsidRPr="00545BEA" w:rsidRDefault="00545BEA" w:rsidP="00545BEA">
      <w:pPr>
        <w:autoSpaceDE w:val="0"/>
        <w:autoSpaceDN w:val="0"/>
        <w:adjustRightInd w:val="0"/>
        <w:rPr>
          <w:b/>
          <w:i/>
          <w:sz w:val="28"/>
          <w:szCs w:val="28"/>
        </w:rPr>
      </w:pPr>
      <w:r w:rsidRPr="00545BEA">
        <w:rPr>
          <w:rFonts w:eastAsiaTheme="minorHAnsi"/>
          <w:sz w:val="28"/>
          <w:szCs w:val="28"/>
          <w:lang w:eastAsia="en-US"/>
        </w:rPr>
        <w:t>Орион Корпорейшн, Финляндия</w:t>
      </w:r>
    </w:p>
    <w:p w:rsidR="00545BEA" w:rsidRPr="00545BEA" w:rsidRDefault="00545BEA" w:rsidP="00052051">
      <w:pPr>
        <w:tabs>
          <w:tab w:val="left" w:pos="9180"/>
        </w:tabs>
        <w:ind w:right="-5"/>
        <w:jc w:val="both"/>
        <w:rPr>
          <w:b/>
          <w:i/>
          <w:sz w:val="28"/>
          <w:szCs w:val="28"/>
        </w:rPr>
      </w:pPr>
    </w:p>
    <w:p w:rsidR="006E2CC6" w:rsidRDefault="00D6651F" w:rsidP="00052051">
      <w:pPr>
        <w:tabs>
          <w:tab w:val="left" w:pos="9360"/>
        </w:tabs>
        <w:ind w:right="-5"/>
        <w:jc w:val="both"/>
        <w:rPr>
          <w:b/>
          <w:i/>
          <w:color w:val="000000"/>
          <w:sz w:val="28"/>
          <w:szCs w:val="28"/>
        </w:rPr>
      </w:pPr>
      <w:r w:rsidRPr="006312F0">
        <w:rPr>
          <w:b/>
          <w:i/>
          <w:color w:val="000000"/>
          <w:sz w:val="28"/>
          <w:szCs w:val="28"/>
        </w:rPr>
        <w:t xml:space="preserve">Наименование,  адрес и контактные  данные </w:t>
      </w:r>
      <w:r w:rsidRPr="007A373B">
        <w:rPr>
          <w:b/>
          <w:i/>
          <w:color w:val="000000"/>
          <w:sz w:val="28"/>
          <w:szCs w:val="28"/>
        </w:rPr>
        <w:t xml:space="preserve">организации на территории Республики Казахстан, принимающей претензии (предложения)  по качеству лекарственных  средств  от </w:t>
      </w:r>
      <w:r w:rsidR="006E2CC6">
        <w:rPr>
          <w:b/>
          <w:i/>
          <w:color w:val="000000"/>
          <w:sz w:val="28"/>
          <w:szCs w:val="28"/>
        </w:rPr>
        <w:t>потребителей</w:t>
      </w:r>
    </w:p>
    <w:p w:rsidR="00052051" w:rsidRDefault="00052051" w:rsidP="00052051">
      <w:pPr>
        <w:tabs>
          <w:tab w:val="left" w:pos="9360"/>
        </w:tabs>
        <w:ind w:right="-5"/>
        <w:jc w:val="both"/>
        <w:rPr>
          <w:sz w:val="28"/>
          <w:szCs w:val="28"/>
        </w:rPr>
      </w:pPr>
      <w:r>
        <w:rPr>
          <w:sz w:val="28"/>
          <w:szCs w:val="28"/>
        </w:rPr>
        <w:t>ТОО «ВИВА Фарм»</w:t>
      </w:r>
    </w:p>
    <w:p w:rsidR="00052051" w:rsidRDefault="00052051" w:rsidP="00052051">
      <w:pPr>
        <w:tabs>
          <w:tab w:val="left" w:pos="9360"/>
        </w:tabs>
        <w:ind w:right="-5"/>
        <w:jc w:val="both"/>
        <w:rPr>
          <w:sz w:val="28"/>
          <w:szCs w:val="28"/>
        </w:rPr>
      </w:pPr>
      <w:r>
        <w:rPr>
          <w:sz w:val="28"/>
          <w:szCs w:val="28"/>
        </w:rPr>
        <w:t>ул. 2-я Остроумова, 33, г. Алматы, РК</w:t>
      </w:r>
    </w:p>
    <w:p w:rsidR="00052051" w:rsidRDefault="00052051" w:rsidP="00052051">
      <w:pPr>
        <w:tabs>
          <w:tab w:val="left" w:pos="9360"/>
        </w:tabs>
        <w:ind w:right="-5"/>
        <w:jc w:val="both"/>
        <w:rPr>
          <w:sz w:val="28"/>
          <w:szCs w:val="28"/>
        </w:rPr>
      </w:pPr>
      <w:r>
        <w:rPr>
          <w:sz w:val="28"/>
          <w:szCs w:val="28"/>
        </w:rPr>
        <w:t xml:space="preserve">тел.: +7 (727) 383 74 63, факс: +7 (727) 383 74 56;  </w:t>
      </w:r>
    </w:p>
    <w:p w:rsidR="00052051" w:rsidRDefault="00052051" w:rsidP="00052051">
      <w:pPr>
        <w:tabs>
          <w:tab w:val="left" w:pos="9360"/>
        </w:tabs>
        <w:ind w:right="-5"/>
        <w:jc w:val="both"/>
        <w:rPr>
          <w:rStyle w:val="a3"/>
          <w:rFonts w:eastAsia="Arial Unicode MS"/>
          <w:sz w:val="28"/>
          <w:szCs w:val="28"/>
          <w:lang w:val="it-IT"/>
        </w:rPr>
      </w:pPr>
      <w:r>
        <w:rPr>
          <w:sz w:val="28"/>
          <w:szCs w:val="28"/>
          <w:lang w:val="it-IT"/>
        </w:rPr>
        <w:t>e-mail: p</w:t>
      </w:r>
      <w:hyperlink r:id="rId4" w:history="1">
        <w:r w:rsidRPr="00A01B44">
          <w:rPr>
            <w:rStyle w:val="a3"/>
            <w:rFonts w:eastAsia="Arial Unicode MS"/>
            <w:sz w:val="28"/>
            <w:szCs w:val="28"/>
            <w:lang w:val="it-IT"/>
          </w:rPr>
          <w:t>v@vivapharm.kz</w:t>
        </w:r>
      </w:hyperlink>
    </w:p>
    <w:p w:rsidR="00052051" w:rsidRDefault="00052051" w:rsidP="00052051">
      <w:pPr>
        <w:tabs>
          <w:tab w:val="left" w:pos="9360"/>
        </w:tabs>
        <w:ind w:right="-5"/>
        <w:jc w:val="both"/>
        <w:rPr>
          <w:rStyle w:val="a3"/>
          <w:rFonts w:eastAsia="Arial Unicode MS"/>
          <w:sz w:val="28"/>
          <w:szCs w:val="28"/>
          <w:lang w:val="it-IT"/>
        </w:rPr>
      </w:pPr>
    </w:p>
    <w:p w:rsidR="006E2CC6" w:rsidRDefault="00D6651F" w:rsidP="006E2CC6">
      <w:pPr>
        <w:pStyle w:val="2"/>
        <w:jc w:val="both"/>
        <w:rPr>
          <w:color w:val="000000"/>
          <w:sz w:val="28"/>
          <w:szCs w:val="28"/>
        </w:rPr>
      </w:pPr>
      <w:r w:rsidRPr="006312F0">
        <w:rPr>
          <w:rFonts w:ascii="Times New Roman" w:hAnsi="Times New Roman"/>
          <w:b/>
          <w:i/>
          <w:color w:val="000000"/>
          <w:sz w:val="28"/>
          <w:szCs w:val="28"/>
        </w:rPr>
        <w:t xml:space="preserve">Наименование,  адрес и контактные  данные </w:t>
      </w:r>
      <w:r w:rsidRPr="007A373B">
        <w:rPr>
          <w:rFonts w:ascii="Times New Roman" w:hAnsi="Times New Roman"/>
          <w:b/>
          <w:bCs w:val="0"/>
          <w:i/>
          <w:color w:val="000000"/>
          <w:sz w:val="28"/>
          <w:szCs w:val="28"/>
        </w:rPr>
        <w:t xml:space="preserve">организации на территории Республики Казахстан, </w:t>
      </w:r>
      <w:r w:rsidRPr="007A373B">
        <w:rPr>
          <w:rFonts w:ascii="Times New Roman" w:hAnsi="Times New Roman"/>
          <w:b/>
          <w:bCs w:val="0"/>
          <w:i/>
          <w:color w:val="000000"/>
          <w:sz w:val="28"/>
          <w:szCs w:val="28"/>
          <w:lang w:val="de-DE" w:eastAsia="de-DE"/>
        </w:rPr>
        <w:t xml:space="preserve">ответственной за пострегистрационное наблюдение за безопасностью лекарственного </w:t>
      </w:r>
      <w:r w:rsidR="006E2CC6">
        <w:rPr>
          <w:rFonts w:ascii="Times New Roman" w:hAnsi="Times New Roman"/>
          <w:b/>
          <w:bCs w:val="0"/>
          <w:i/>
          <w:color w:val="000000"/>
          <w:sz w:val="28"/>
          <w:szCs w:val="28"/>
          <w:lang w:eastAsia="de-DE"/>
        </w:rPr>
        <w:t>средства</w:t>
      </w:r>
    </w:p>
    <w:p w:rsidR="00052051" w:rsidRDefault="00052051" w:rsidP="00052051">
      <w:pPr>
        <w:rPr>
          <w:color w:val="000000"/>
          <w:sz w:val="28"/>
          <w:szCs w:val="28"/>
        </w:rPr>
      </w:pPr>
      <w:r>
        <w:rPr>
          <w:color w:val="000000"/>
          <w:sz w:val="28"/>
          <w:szCs w:val="28"/>
        </w:rPr>
        <w:t>ТОО «</w:t>
      </w:r>
      <w:r>
        <w:rPr>
          <w:color w:val="000000"/>
          <w:sz w:val="28"/>
          <w:szCs w:val="28"/>
          <w:lang w:val="en-US"/>
        </w:rPr>
        <w:t>ORION</w:t>
      </w:r>
      <w:r w:rsidRPr="00DB70ED">
        <w:rPr>
          <w:color w:val="000000"/>
          <w:sz w:val="28"/>
          <w:szCs w:val="28"/>
        </w:rPr>
        <w:t xml:space="preserve"> </w:t>
      </w:r>
      <w:r>
        <w:rPr>
          <w:color w:val="000000"/>
          <w:sz w:val="28"/>
          <w:szCs w:val="28"/>
          <w:lang w:val="en-US"/>
        </w:rPr>
        <w:t>PHARMA</w:t>
      </w:r>
      <w:r w:rsidRPr="00DB70ED">
        <w:rPr>
          <w:color w:val="000000"/>
          <w:sz w:val="28"/>
          <w:szCs w:val="28"/>
        </w:rPr>
        <w:t xml:space="preserve"> </w:t>
      </w:r>
      <w:r>
        <w:rPr>
          <w:color w:val="000000"/>
          <w:sz w:val="28"/>
          <w:szCs w:val="28"/>
          <w:lang w:val="en-US"/>
        </w:rPr>
        <w:t>EAST</w:t>
      </w:r>
      <w:r>
        <w:rPr>
          <w:color w:val="000000"/>
          <w:sz w:val="28"/>
          <w:szCs w:val="28"/>
        </w:rPr>
        <w:t xml:space="preserve"> (ОРИОН ФАРМА ИСТ)» </w:t>
      </w:r>
    </w:p>
    <w:p w:rsidR="00052051" w:rsidRDefault="00052051" w:rsidP="00052051">
      <w:pPr>
        <w:rPr>
          <w:color w:val="000000"/>
          <w:sz w:val="28"/>
          <w:szCs w:val="28"/>
        </w:rPr>
      </w:pPr>
      <w:r>
        <w:rPr>
          <w:color w:val="000000"/>
          <w:sz w:val="28"/>
          <w:szCs w:val="28"/>
        </w:rPr>
        <w:t>050000, г. Алматы, ул. Толе Би, дом 69, офис 19.</w:t>
      </w:r>
    </w:p>
    <w:p w:rsidR="00052051" w:rsidRDefault="00052051" w:rsidP="00052051">
      <w:pPr>
        <w:rPr>
          <w:color w:val="000000"/>
          <w:sz w:val="28"/>
          <w:szCs w:val="28"/>
        </w:rPr>
      </w:pPr>
      <w:r>
        <w:rPr>
          <w:color w:val="000000"/>
          <w:sz w:val="28"/>
          <w:szCs w:val="28"/>
        </w:rPr>
        <w:t>Тел.: 8 (727) 272-61-10, 272-61-11</w:t>
      </w:r>
    </w:p>
    <w:p w:rsidR="00052051" w:rsidRDefault="00052051" w:rsidP="00052051">
      <w:pPr>
        <w:rPr>
          <w:color w:val="000000"/>
          <w:sz w:val="28"/>
          <w:szCs w:val="28"/>
        </w:rPr>
      </w:pPr>
      <w:r>
        <w:rPr>
          <w:color w:val="000000"/>
          <w:sz w:val="28"/>
          <w:szCs w:val="28"/>
        </w:rPr>
        <w:t>Факс: 8(727) 272-62-09</w:t>
      </w:r>
    </w:p>
    <w:p w:rsidR="00052051" w:rsidRDefault="00052051" w:rsidP="00052051">
      <w:pPr>
        <w:tabs>
          <w:tab w:val="left" w:pos="9360"/>
        </w:tabs>
        <w:ind w:right="-5"/>
        <w:jc w:val="both"/>
      </w:pPr>
      <w:r>
        <w:rPr>
          <w:color w:val="000000"/>
          <w:sz w:val="28"/>
          <w:szCs w:val="28"/>
        </w:rPr>
        <w:t xml:space="preserve">Электронная почта:  </w:t>
      </w:r>
      <w:hyperlink r:id="rId5" w:tgtFrame="_blank" w:history="1">
        <w:r>
          <w:rPr>
            <w:rStyle w:val="a3"/>
            <w:rFonts w:eastAsia="Arial Unicode MS"/>
            <w:color w:val="000000"/>
            <w:sz w:val="28"/>
            <w:szCs w:val="28"/>
            <w:lang w:val="en-US"/>
          </w:rPr>
          <w:t>assel</w:t>
        </w:r>
        <w:r>
          <w:rPr>
            <w:rStyle w:val="a3"/>
            <w:rFonts w:eastAsia="Arial Unicode MS"/>
            <w:color w:val="000000"/>
            <w:sz w:val="28"/>
            <w:szCs w:val="28"/>
          </w:rPr>
          <w:t>.</w:t>
        </w:r>
        <w:r>
          <w:rPr>
            <w:rStyle w:val="a3"/>
            <w:rFonts w:eastAsia="Arial Unicode MS"/>
            <w:color w:val="000000"/>
            <w:sz w:val="28"/>
            <w:szCs w:val="28"/>
            <w:lang w:val="en-US"/>
          </w:rPr>
          <w:t>alshynbayeva</w:t>
        </w:r>
        <w:r>
          <w:rPr>
            <w:rStyle w:val="a3"/>
            <w:rFonts w:eastAsia="Arial Unicode MS"/>
            <w:color w:val="000000"/>
            <w:sz w:val="28"/>
            <w:szCs w:val="28"/>
          </w:rPr>
          <w:t>@</w:t>
        </w:r>
        <w:r>
          <w:rPr>
            <w:rStyle w:val="a3"/>
            <w:rFonts w:eastAsia="Arial Unicode MS"/>
            <w:color w:val="000000"/>
            <w:sz w:val="28"/>
            <w:szCs w:val="28"/>
            <w:lang w:val="en-US"/>
          </w:rPr>
          <w:t>orionpharma</w:t>
        </w:r>
        <w:r>
          <w:rPr>
            <w:rStyle w:val="a3"/>
            <w:rFonts w:eastAsia="Arial Unicode MS"/>
            <w:color w:val="000000"/>
            <w:sz w:val="28"/>
            <w:szCs w:val="28"/>
          </w:rPr>
          <w:t>.</w:t>
        </w:r>
        <w:r>
          <w:rPr>
            <w:rStyle w:val="a3"/>
            <w:rFonts w:eastAsia="Arial Unicode MS"/>
            <w:color w:val="000000"/>
            <w:sz w:val="28"/>
            <w:szCs w:val="28"/>
            <w:lang w:val="en-US"/>
          </w:rPr>
          <w:t>com</w:t>
        </w:r>
      </w:hyperlink>
    </w:p>
    <w:p w:rsidR="00817B8A" w:rsidRDefault="00817B8A"/>
    <w:p w:rsidR="00052051" w:rsidRDefault="00052051"/>
    <w:p w:rsidR="00052051" w:rsidRDefault="00052051"/>
    <w:sectPr w:rsidR="00052051" w:rsidSect="00D6651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51"/>
    <w:rsid w:val="00052051"/>
    <w:rsid w:val="00155CFE"/>
    <w:rsid w:val="00510EBB"/>
    <w:rsid w:val="00545BEA"/>
    <w:rsid w:val="006E2CC6"/>
    <w:rsid w:val="00817B8A"/>
    <w:rsid w:val="008A169C"/>
    <w:rsid w:val="00974B91"/>
    <w:rsid w:val="00A80D29"/>
    <w:rsid w:val="00B05B8A"/>
    <w:rsid w:val="00B95FBD"/>
    <w:rsid w:val="00C26F8A"/>
    <w:rsid w:val="00D6651F"/>
    <w:rsid w:val="00E33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F6CED-3993-43E9-AD1B-47A1D707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52051"/>
    <w:rPr>
      <w:color w:val="0000FF"/>
      <w:u w:val="single"/>
    </w:rPr>
  </w:style>
  <w:style w:type="character" w:customStyle="1" w:styleId="a4">
    <w:name w:val="Обычный (веб) Знак"/>
    <w:aliases w:val="Обычный (Web) Знак"/>
    <w:basedOn w:val="a0"/>
    <w:link w:val="a5"/>
    <w:semiHidden/>
    <w:locked/>
    <w:rsid w:val="00052051"/>
    <w:rPr>
      <w:rFonts w:ascii="Arial" w:eastAsia="Arial Unicode MS" w:hAnsi="Arial" w:cs="Arial"/>
      <w:sz w:val="18"/>
      <w:szCs w:val="18"/>
    </w:rPr>
  </w:style>
  <w:style w:type="paragraph" w:styleId="a5">
    <w:name w:val="Normal (Web)"/>
    <w:aliases w:val="Обычный (Web)"/>
    <w:basedOn w:val="a"/>
    <w:link w:val="a4"/>
    <w:semiHidden/>
    <w:unhideWhenUsed/>
    <w:rsid w:val="00052051"/>
    <w:rPr>
      <w:rFonts w:ascii="Arial" w:eastAsia="Arial Unicode MS" w:hAnsi="Arial" w:cs="Arial"/>
      <w:sz w:val="18"/>
      <w:szCs w:val="18"/>
      <w:lang w:eastAsia="en-US"/>
    </w:rPr>
  </w:style>
  <w:style w:type="character" w:customStyle="1" w:styleId="FontStyle14">
    <w:name w:val="Font Style14"/>
    <w:basedOn w:val="a0"/>
    <w:rsid w:val="00052051"/>
    <w:rPr>
      <w:rFonts w:ascii="Times New Roman" w:hAnsi="Times New Roman" w:cs="Times New Roman" w:hint="default"/>
      <w:sz w:val="22"/>
      <w:szCs w:val="22"/>
    </w:rPr>
  </w:style>
  <w:style w:type="paragraph" w:customStyle="1" w:styleId="1">
    <w:name w:val="Обычный1"/>
    <w:rsid w:val="00052051"/>
    <w:pPr>
      <w:widowControl w:val="0"/>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D6651F"/>
    <w:pPr>
      <w:overflowPunct w:val="0"/>
      <w:autoSpaceDE w:val="0"/>
      <w:autoSpaceDN w:val="0"/>
      <w:adjustRightInd w:val="0"/>
      <w:ind w:right="-142"/>
      <w:textAlignment w:val="baseline"/>
    </w:pPr>
    <w:rPr>
      <w:rFonts w:ascii="Arial" w:hAnsi="Arial"/>
      <w:bCs/>
      <w:szCs w:val="20"/>
    </w:rPr>
  </w:style>
  <w:style w:type="character" w:customStyle="1" w:styleId="20">
    <w:name w:val="Основной текст 2 Знак"/>
    <w:basedOn w:val="a0"/>
    <w:link w:val="2"/>
    <w:rsid w:val="00D6651F"/>
    <w:rPr>
      <w:rFonts w:ascii="Arial" w:eastAsia="Times New Roman" w:hAnsi="Arial" w:cs="Times New Roman"/>
      <w:bCs/>
      <w:sz w:val="24"/>
      <w:szCs w:val="20"/>
      <w:lang w:eastAsia="ru-RU"/>
    </w:rPr>
  </w:style>
  <w:style w:type="character" w:styleId="a6">
    <w:name w:val="annotation reference"/>
    <w:basedOn w:val="a0"/>
    <w:uiPriority w:val="99"/>
    <w:semiHidden/>
    <w:unhideWhenUsed/>
    <w:rsid w:val="00D6651F"/>
    <w:rPr>
      <w:sz w:val="16"/>
      <w:szCs w:val="16"/>
    </w:rPr>
  </w:style>
  <w:style w:type="paragraph" w:styleId="a7">
    <w:name w:val="annotation text"/>
    <w:basedOn w:val="a"/>
    <w:link w:val="a8"/>
    <w:uiPriority w:val="99"/>
    <w:unhideWhenUsed/>
    <w:rsid w:val="00D6651F"/>
    <w:rPr>
      <w:sz w:val="20"/>
      <w:szCs w:val="20"/>
    </w:rPr>
  </w:style>
  <w:style w:type="character" w:customStyle="1" w:styleId="a8">
    <w:name w:val="Текст примечания Знак"/>
    <w:basedOn w:val="a0"/>
    <w:link w:val="a7"/>
    <w:uiPriority w:val="99"/>
    <w:rsid w:val="00D6651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D6651F"/>
    <w:rPr>
      <w:b/>
      <w:bCs/>
    </w:rPr>
  </w:style>
  <w:style w:type="character" w:customStyle="1" w:styleId="aa">
    <w:name w:val="Тема примечания Знак"/>
    <w:basedOn w:val="a8"/>
    <w:link w:val="a9"/>
    <w:uiPriority w:val="99"/>
    <w:semiHidden/>
    <w:rsid w:val="00D6651F"/>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D6651F"/>
    <w:rPr>
      <w:rFonts w:ascii="Tahoma" w:hAnsi="Tahoma" w:cs="Tahoma"/>
      <w:sz w:val="16"/>
      <w:szCs w:val="16"/>
    </w:rPr>
  </w:style>
  <w:style w:type="character" w:customStyle="1" w:styleId="ac">
    <w:name w:val="Текст выноски Знак"/>
    <w:basedOn w:val="a0"/>
    <w:link w:val="ab"/>
    <w:uiPriority w:val="99"/>
    <w:semiHidden/>
    <w:rsid w:val="00D665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ail.ru/compose/?mailto=mailto%3aassel.alshynbayeva@orionpharma.com" TargetMode="External"/><Relationship Id="rId4" Type="http://schemas.openxmlformats.org/officeDocument/2006/relationships/hyperlink" Target="mailto:v@vivaphar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1991</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Сламжанова Сауле Бексултановна</dc:creator>
  <cp:lastModifiedBy>User</cp:lastModifiedBy>
  <cp:revision>3</cp:revision>
  <dcterms:created xsi:type="dcterms:W3CDTF">2019-10-03T05:02:00Z</dcterms:created>
  <dcterms:modified xsi:type="dcterms:W3CDTF">2019-10-03T05:02:00Z</dcterms:modified>
</cp:coreProperties>
</file>